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E450"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6B91E453" w14:textId="77777777" w:rsidTr="005F7F7E">
        <w:tc>
          <w:tcPr>
            <w:tcW w:w="2438" w:type="dxa"/>
            <w:shd w:val="clear" w:color="auto" w:fill="auto"/>
          </w:tcPr>
          <w:p w14:paraId="6B91E451"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B91E452" w14:textId="01089E03" w:rsidR="00F445B1" w:rsidRPr="00F95BC9" w:rsidRDefault="00191639" w:rsidP="004A6D2F">
            <w:pPr>
              <w:rPr>
                <w:rStyle w:val="Firstpagetablebold"/>
              </w:rPr>
            </w:pPr>
            <w:r>
              <w:rPr>
                <w:rStyle w:val="Firstpagetablebold"/>
              </w:rPr>
              <w:t>Scrutiny</w:t>
            </w:r>
            <w:r w:rsidR="00821AAF">
              <w:rPr>
                <w:rStyle w:val="Firstpagetablebold"/>
              </w:rPr>
              <w:t xml:space="preserve"> Committee</w:t>
            </w:r>
          </w:p>
        </w:tc>
      </w:tr>
      <w:tr w:rsidR="00CE544A" w:rsidRPr="00975B07" w14:paraId="6B91E456" w14:textId="77777777" w:rsidTr="005F7F7E">
        <w:tc>
          <w:tcPr>
            <w:tcW w:w="2438" w:type="dxa"/>
            <w:shd w:val="clear" w:color="auto" w:fill="auto"/>
          </w:tcPr>
          <w:p w14:paraId="6B91E454"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B91E455" w14:textId="4F822004" w:rsidR="00F445B1" w:rsidRPr="001356F1" w:rsidRDefault="00191639" w:rsidP="005D0621">
            <w:pPr>
              <w:rPr>
                <w:b/>
              </w:rPr>
            </w:pPr>
            <w:r>
              <w:rPr>
                <w:rStyle w:val="Firstpagetablebold"/>
              </w:rPr>
              <w:t>06 February 2024</w:t>
            </w:r>
          </w:p>
        </w:tc>
      </w:tr>
      <w:tr w:rsidR="00CE544A" w:rsidRPr="00975B07" w14:paraId="6B91E459" w14:textId="77777777" w:rsidTr="005F7F7E">
        <w:tc>
          <w:tcPr>
            <w:tcW w:w="2438" w:type="dxa"/>
            <w:shd w:val="clear" w:color="auto" w:fill="auto"/>
          </w:tcPr>
          <w:p w14:paraId="6B91E457"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6B91E458" w14:textId="77653CFE" w:rsidR="00F445B1" w:rsidRPr="001356F1" w:rsidRDefault="007C48A5" w:rsidP="004A6D2F">
            <w:pPr>
              <w:rPr>
                <w:rStyle w:val="Firstpagetablebold"/>
              </w:rPr>
            </w:pPr>
            <w:r>
              <w:rPr>
                <w:rStyle w:val="Firstpagetablebold"/>
              </w:rPr>
              <w:t>Anti-Slavery Coordinator Oxfordshire</w:t>
            </w:r>
          </w:p>
        </w:tc>
      </w:tr>
      <w:tr w:rsidR="00CE544A" w:rsidRPr="00975B07" w14:paraId="6B91E45C" w14:textId="77777777" w:rsidTr="005F7F7E">
        <w:tc>
          <w:tcPr>
            <w:tcW w:w="2438" w:type="dxa"/>
            <w:shd w:val="clear" w:color="auto" w:fill="auto"/>
          </w:tcPr>
          <w:p w14:paraId="6B91E45A"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B91E45B" w14:textId="33B5A00A" w:rsidR="00F445B1" w:rsidRPr="001356F1" w:rsidRDefault="00191639" w:rsidP="004A6D2F">
            <w:pPr>
              <w:rPr>
                <w:rStyle w:val="Firstpagetablebold"/>
              </w:rPr>
            </w:pPr>
            <w:r>
              <w:rPr>
                <w:rStyle w:val="Firstpagetablebold"/>
              </w:rPr>
              <w:t>Adult Exploitation and Modern Slavery</w:t>
            </w:r>
          </w:p>
        </w:tc>
      </w:tr>
    </w:tbl>
    <w:p w14:paraId="6B91E45D"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6B91E45F" w14:textId="77777777" w:rsidTr="0080749A">
        <w:tc>
          <w:tcPr>
            <w:tcW w:w="8845" w:type="dxa"/>
            <w:gridSpan w:val="3"/>
            <w:tcBorders>
              <w:bottom w:val="single" w:sz="8" w:space="0" w:color="000000"/>
            </w:tcBorders>
            <w:hideMark/>
          </w:tcPr>
          <w:p w14:paraId="6B91E45E"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B91E462" w14:textId="77777777" w:rsidTr="0080749A">
        <w:tc>
          <w:tcPr>
            <w:tcW w:w="2438" w:type="dxa"/>
            <w:gridSpan w:val="2"/>
            <w:tcBorders>
              <w:top w:val="single" w:sz="8" w:space="0" w:color="000000"/>
              <w:left w:val="single" w:sz="8" w:space="0" w:color="000000"/>
              <w:bottom w:val="nil"/>
              <w:right w:val="nil"/>
            </w:tcBorders>
            <w:hideMark/>
          </w:tcPr>
          <w:p w14:paraId="6B91E460"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B91E461" w14:textId="4177223D" w:rsidR="00D5547E" w:rsidRPr="001356F1" w:rsidRDefault="00DB0D4D" w:rsidP="00821AAF">
            <w:r>
              <w:t xml:space="preserve">To provide an update on </w:t>
            </w:r>
            <w:r w:rsidR="00F01235">
              <w:t xml:space="preserve">the prevalence of </w:t>
            </w:r>
            <w:r w:rsidR="000016B4">
              <w:t>adult exploitation and modern slavery</w:t>
            </w:r>
            <w:r w:rsidR="00F01235">
              <w:t xml:space="preserve"> and</w:t>
            </w:r>
            <w:r w:rsidR="000016B4">
              <w:t xml:space="preserve"> work</w:t>
            </w:r>
            <w:r w:rsidR="00F01235">
              <w:t xml:space="preserve"> being undertaken to address</w:t>
            </w:r>
            <w:r w:rsidR="004F4D18">
              <w:t xml:space="preserve"> this</w:t>
            </w:r>
            <w:r w:rsidR="000016B4">
              <w:t xml:space="preserve">. </w:t>
            </w:r>
          </w:p>
        </w:tc>
      </w:tr>
      <w:tr w:rsidR="00D5547E" w14:paraId="6B91E465" w14:textId="77777777" w:rsidTr="0080749A">
        <w:tc>
          <w:tcPr>
            <w:tcW w:w="2438" w:type="dxa"/>
            <w:gridSpan w:val="2"/>
            <w:tcBorders>
              <w:top w:val="nil"/>
              <w:left w:val="single" w:sz="8" w:space="0" w:color="000000"/>
              <w:bottom w:val="nil"/>
              <w:right w:val="nil"/>
            </w:tcBorders>
            <w:hideMark/>
          </w:tcPr>
          <w:p w14:paraId="6B91E463"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6B91E464" w14:textId="7EE57A77" w:rsidR="00D5547E" w:rsidRPr="001356F1" w:rsidRDefault="00D5547E" w:rsidP="005F7F7E">
            <w:r w:rsidRPr="00C70328">
              <w:rPr>
                <w:color w:val="auto"/>
              </w:rPr>
              <w:t>No</w:t>
            </w:r>
          </w:p>
        </w:tc>
      </w:tr>
      <w:tr w:rsidR="00D5547E" w14:paraId="6B91E468" w14:textId="77777777" w:rsidTr="0080749A">
        <w:tc>
          <w:tcPr>
            <w:tcW w:w="2438" w:type="dxa"/>
            <w:gridSpan w:val="2"/>
            <w:tcBorders>
              <w:top w:val="nil"/>
              <w:left w:val="single" w:sz="8" w:space="0" w:color="000000"/>
              <w:bottom w:val="nil"/>
              <w:right w:val="nil"/>
            </w:tcBorders>
            <w:hideMark/>
          </w:tcPr>
          <w:p w14:paraId="6B91E466"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6B91E467" w14:textId="348D3B67" w:rsidR="00D5547E" w:rsidRPr="001356F1" w:rsidRDefault="00D5547E" w:rsidP="005F7F7E">
            <w:r w:rsidRPr="001356F1">
              <w:t xml:space="preserve">Councillor </w:t>
            </w:r>
            <w:r w:rsidR="00191639">
              <w:t>Mark Lygo</w:t>
            </w:r>
            <w:r w:rsidRPr="001356F1">
              <w:t xml:space="preserve">, </w:t>
            </w:r>
            <w:r w:rsidR="00191639">
              <w:t>Cabinet Member for Inclusive and Safer Communities</w:t>
            </w:r>
          </w:p>
        </w:tc>
      </w:tr>
      <w:tr w:rsidR="0080749A" w14:paraId="6B91E46B" w14:textId="77777777" w:rsidTr="0080749A">
        <w:tc>
          <w:tcPr>
            <w:tcW w:w="2438" w:type="dxa"/>
            <w:gridSpan w:val="2"/>
            <w:tcBorders>
              <w:top w:val="nil"/>
              <w:left w:val="single" w:sz="8" w:space="0" w:color="000000"/>
              <w:bottom w:val="nil"/>
              <w:right w:val="nil"/>
            </w:tcBorders>
          </w:tcPr>
          <w:p w14:paraId="6B91E469"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B91E46A" w14:textId="0A7CEA0F" w:rsidR="0080749A" w:rsidRPr="001356F1" w:rsidRDefault="00984233" w:rsidP="005F7F7E">
            <w:r>
              <w:t>Support Thriving Communities</w:t>
            </w:r>
          </w:p>
        </w:tc>
      </w:tr>
      <w:tr w:rsidR="00D5547E" w14:paraId="6B91E46E" w14:textId="77777777" w:rsidTr="0080749A">
        <w:tc>
          <w:tcPr>
            <w:tcW w:w="2438" w:type="dxa"/>
            <w:gridSpan w:val="2"/>
            <w:tcBorders>
              <w:top w:val="nil"/>
              <w:left w:val="single" w:sz="8" w:space="0" w:color="000000"/>
              <w:bottom w:val="nil"/>
              <w:right w:val="nil"/>
            </w:tcBorders>
            <w:hideMark/>
          </w:tcPr>
          <w:p w14:paraId="6B91E46C"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B91E46D" w14:textId="406C0520" w:rsidR="00D5547E" w:rsidRPr="001356F1" w:rsidRDefault="00191639" w:rsidP="005F7F7E">
            <w:r>
              <w:t>Council Strategy 2020-24</w:t>
            </w:r>
          </w:p>
        </w:tc>
      </w:tr>
      <w:tr w:rsidR="005F7F7E" w:rsidRPr="00975B07" w14:paraId="6B91E470" w14:textId="77777777" w:rsidTr="00697CFD">
        <w:trPr>
          <w:trHeight w:val="413"/>
        </w:trPr>
        <w:tc>
          <w:tcPr>
            <w:tcW w:w="8845" w:type="dxa"/>
            <w:gridSpan w:val="3"/>
            <w:tcBorders>
              <w:bottom w:val="single" w:sz="8" w:space="0" w:color="000000"/>
            </w:tcBorders>
          </w:tcPr>
          <w:p w14:paraId="6B91E46F" w14:textId="47BDD4F3" w:rsidR="005F7F7E" w:rsidRPr="00975B07" w:rsidRDefault="005F7F7E" w:rsidP="00821AAF">
            <w:r>
              <w:rPr>
                <w:rStyle w:val="Firstpagetablebold"/>
              </w:rPr>
              <w:t>Recommendation(s):</w:t>
            </w:r>
            <w:r w:rsidR="00697CFD">
              <w:rPr>
                <w:rStyle w:val="Firstpagetablebold"/>
              </w:rPr>
              <w:t xml:space="preserve"> </w:t>
            </w:r>
            <w:r>
              <w:rPr>
                <w:rStyle w:val="Firstpagetablebold"/>
              </w:rPr>
              <w:t xml:space="preserve">That the </w:t>
            </w:r>
            <w:r w:rsidR="00821AAF">
              <w:rPr>
                <w:rStyle w:val="Firstpagetablebold"/>
              </w:rPr>
              <w:t>Committee</w:t>
            </w:r>
            <w:r>
              <w:rPr>
                <w:rStyle w:val="Firstpagetablebold"/>
              </w:rPr>
              <w:t xml:space="preserve"> resolves to:</w:t>
            </w:r>
          </w:p>
        </w:tc>
      </w:tr>
      <w:tr w:rsidR="0030208D" w:rsidRPr="00975B07" w14:paraId="6B91E473" w14:textId="77777777" w:rsidTr="00697CFD">
        <w:trPr>
          <w:trHeight w:val="283"/>
        </w:trPr>
        <w:tc>
          <w:tcPr>
            <w:tcW w:w="426" w:type="dxa"/>
            <w:tcBorders>
              <w:top w:val="single" w:sz="8" w:space="0" w:color="000000"/>
              <w:left w:val="single" w:sz="8" w:space="0" w:color="000000"/>
              <w:bottom w:val="single" w:sz="4" w:space="0" w:color="auto"/>
              <w:right w:val="nil"/>
            </w:tcBorders>
          </w:tcPr>
          <w:p w14:paraId="6B91E471" w14:textId="77777777"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14:paraId="6B91E472" w14:textId="1771E17F" w:rsidR="0030208D" w:rsidRPr="001356F1" w:rsidRDefault="00697CFD" w:rsidP="002069B3">
            <w:r>
              <w:rPr>
                <w:rStyle w:val="Firstpagetablebold"/>
              </w:rPr>
              <w:t xml:space="preserve">Note and comment </w:t>
            </w:r>
            <w:r w:rsidRPr="00697CFD">
              <w:rPr>
                <w:rStyle w:val="Firstpagetablebold"/>
                <w:b w:val="0"/>
                <w:bCs/>
              </w:rPr>
              <w:t xml:space="preserve">on the report and </w:t>
            </w:r>
            <w:r w:rsidRPr="00697CFD">
              <w:rPr>
                <w:rStyle w:val="Firstpagetablebold"/>
              </w:rPr>
              <w:t>agree</w:t>
            </w:r>
            <w:r w:rsidRPr="00697CFD">
              <w:rPr>
                <w:rStyle w:val="Firstpagetablebold"/>
                <w:b w:val="0"/>
                <w:bCs/>
              </w:rPr>
              <w:t xml:space="preserve"> any recommendations.</w:t>
            </w:r>
            <w:r w:rsidR="0030208D" w:rsidRPr="001356F1">
              <w:t xml:space="preserve"> </w:t>
            </w:r>
          </w:p>
        </w:tc>
      </w:tr>
    </w:tbl>
    <w:p w14:paraId="6B91E480"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6B91E482" w14:textId="77777777" w:rsidTr="00697CFD">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6B91E481" w14:textId="77777777" w:rsidR="00966D42" w:rsidRPr="00975B07" w:rsidRDefault="00966D42" w:rsidP="00263EA3">
            <w:pPr>
              <w:jc w:val="center"/>
            </w:pPr>
            <w:r w:rsidRPr="00745BF0">
              <w:rPr>
                <w:rStyle w:val="Firstpagetablebold"/>
              </w:rPr>
              <w:t>Appendices</w:t>
            </w:r>
          </w:p>
        </w:tc>
      </w:tr>
      <w:tr w:rsidR="00ED5860" w:rsidRPr="00975B07" w14:paraId="6B91E485" w14:textId="77777777" w:rsidTr="00697CFD">
        <w:tc>
          <w:tcPr>
            <w:tcW w:w="2438" w:type="dxa"/>
            <w:tcBorders>
              <w:top w:val="single" w:sz="8" w:space="0" w:color="000000"/>
              <w:left w:val="single" w:sz="8" w:space="0" w:color="000000"/>
              <w:bottom w:val="single" w:sz="4" w:space="0" w:color="auto"/>
              <w:right w:val="nil"/>
            </w:tcBorders>
            <w:shd w:val="clear" w:color="auto" w:fill="auto"/>
          </w:tcPr>
          <w:p w14:paraId="6B91E483" w14:textId="77777777"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14:paraId="6B91E484" w14:textId="342C2A5D" w:rsidR="00ED5860" w:rsidRPr="001356F1" w:rsidRDefault="00C70328" w:rsidP="004A6D2F">
            <w:r>
              <w:t>Oxfordshire Structure</w:t>
            </w:r>
          </w:p>
        </w:tc>
      </w:tr>
    </w:tbl>
    <w:p w14:paraId="6B91E48F"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534C7D01" w14:textId="47DBE162" w:rsidR="00C442A9" w:rsidRDefault="00C442A9" w:rsidP="004F4D18">
      <w:pPr>
        <w:pStyle w:val="ListParagraph"/>
        <w:numPr>
          <w:ilvl w:val="0"/>
          <w:numId w:val="6"/>
        </w:numPr>
        <w:jc w:val="both"/>
      </w:pPr>
      <w:r>
        <w:t xml:space="preserve">In partnership with the other Oxfordshire councils and with funding through the Community Safety Fund from the Office of the Police and Crime Commissioner, the new role of Anti-Slavery Coordinator Oxfordshire (ASCO) was introduced in January 2022.  </w:t>
      </w:r>
    </w:p>
    <w:p w14:paraId="38647232" w14:textId="114936FB" w:rsidR="00C442A9" w:rsidRDefault="00C442A9" w:rsidP="004F4D18">
      <w:pPr>
        <w:pStyle w:val="ListParagraph"/>
        <w:numPr>
          <w:ilvl w:val="0"/>
          <w:numId w:val="6"/>
        </w:numPr>
        <w:jc w:val="both"/>
      </w:pPr>
      <w:r>
        <w:t>The role is to lead on Oxfordshire’s response to adult exploitation and modern slavery and sits within Oxford City Council. Since January 2022, there has been the development of a pathway and multi-agency structure (</w:t>
      </w:r>
      <w:r w:rsidRPr="004B1521">
        <w:rPr>
          <w:i/>
          <w:iCs/>
        </w:rPr>
        <w:t xml:space="preserve">see </w:t>
      </w:r>
      <w:r w:rsidRPr="004B1521">
        <w:rPr>
          <w:b/>
          <w:bCs/>
          <w:i/>
          <w:iCs/>
        </w:rPr>
        <w:t>Appendix 1</w:t>
      </w:r>
      <w:r>
        <w:t xml:space="preserve">) in tackling this crime which is included in the “Oxfordshire’s Response to Adult Exploitation Guidance &amp; Pathways” document shared and embedded in all frontline services across Oxfordshire.  </w:t>
      </w:r>
    </w:p>
    <w:p w14:paraId="6B91E491" w14:textId="78A65F72" w:rsidR="00633578" w:rsidRPr="001356F1" w:rsidRDefault="00AD6597" w:rsidP="00E87F7A">
      <w:pPr>
        <w:pStyle w:val="Heading1"/>
      </w:pPr>
      <w:r>
        <w:t>Data Collection</w:t>
      </w:r>
    </w:p>
    <w:p w14:paraId="692B9970" w14:textId="060DD76F" w:rsidR="0007266F" w:rsidRDefault="0007266F" w:rsidP="004F4D18">
      <w:pPr>
        <w:pStyle w:val="ListParagraph"/>
        <w:numPr>
          <w:ilvl w:val="0"/>
          <w:numId w:val="6"/>
        </w:numPr>
        <w:jc w:val="both"/>
      </w:pPr>
      <w:r>
        <w:t xml:space="preserve">A central recording system was developed for collection of relevant data that would ensure a greater understanding of the prevalence of exploitation and modern </w:t>
      </w:r>
      <w:r>
        <w:lastRenderedPageBreak/>
        <w:t xml:space="preserve">slavery and identify trends, threats, </w:t>
      </w:r>
      <w:proofErr w:type="gramStart"/>
      <w:r>
        <w:t>risk</w:t>
      </w:r>
      <w:proofErr w:type="gramEnd"/>
      <w:r>
        <w:t xml:space="preserve"> and harm</w:t>
      </w:r>
      <w:r w:rsidR="009A6A2A">
        <w:t>,</w:t>
      </w:r>
      <w:r>
        <w:t xml:space="preserve"> thus allowing us to know where we needed to focus targeted work.</w:t>
      </w:r>
    </w:p>
    <w:p w14:paraId="5236B2BD" w14:textId="342B5193" w:rsidR="00B03B62" w:rsidRDefault="00B03B62" w:rsidP="004F4D18">
      <w:pPr>
        <w:pStyle w:val="ListParagraph"/>
        <w:numPr>
          <w:ilvl w:val="0"/>
          <w:numId w:val="6"/>
        </w:numPr>
        <w:jc w:val="both"/>
      </w:pPr>
      <w:r>
        <w:t xml:space="preserve">All cases are referred to the ASCO and the </w:t>
      </w:r>
      <w:r w:rsidR="00025DF8">
        <w:t>below</w:t>
      </w:r>
      <w:r>
        <w:t xml:space="preserve"> data </w:t>
      </w:r>
      <w:r w:rsidR="00025DF8">
        <w:t xml:space="preserve">in Table 1 </w:t>
      </w:r>
      <w:r w:rsidR="00533159">
        <w:t>covers</w:t>
      </w:r>
      <w:r>
        <w:t xml:space="preserve"> referrals from January 2022 </w:t>
      </w:r>
      <w:r w:rsidR="00533159">
        <w:t>(</w:t>
      </w:r>
      <w:r>
        <w:t>when data started being collected</w:t>
      </w:r>
      <w:r w:rsidR="00533159">
        <w:t>)</w:t>
      </w:r>
      <w:r>
        <w:t xml:space="preserve"> up until</w:t>
      </w:r>
      <w:r w:rsidR="00533159">
        <w:t xml:space="preserve"> the</w:t>
      </w:r>
      <w:r>
        <w:t xml:space="preserve"> end of December 2023</w:t>
      </w:r>
      <w:r w:rsidR="0022008B">
        <w:t xml:space="preserve">. It </w:t>
      </w:r>
      <w:r>
        <w:t>shows totals for both Oxford City and Oxfordshire to compare.</w:t>
      </w:r>
    </w:p>
    <w:p w14:paraId="4943F140" w14:textId="610F2EBF" w:rsidR="00EF4AF2" w:rsidRDefault="00EF4AF2" w:rsidP="004F4D18">
      <w:pPr>
        <w:pStyle w:val="ListParagraph"/>
        <w:numPr>
          <w:ilvl w:val="0"/>
          <w:numId w:val="6"/>
        </w:numPr>
        <w:jc w:val="both"/>
      </w:pPr>
      <w:r>
        <w:t>Any concern around potential exploitation is referred</w:t>
      </w:r>
      <w:r w:rsidR="007D572E">
        <w:t>,</w:t>
      </w:r>
      <w:r>
        <w:t xml:space="preserve"> which can be individuals or premises</w:t>
      </w:r>
      <w:r w:rsidR="007D572E">
        <w:t>/</w:t>
      </w:r>
      <w:r>
        <w:t xml:space="preserve">businesses/organisations.  </w:t>
      </w:r>
    </w:p>
    <w:p w14:paraId="42FFF436" w14:textId="77777777" w:rsidR="00025DF8" w:rsidRDefault="00025DF8" w:rsidP="00025DF8"/>
    <w:p w14:paraId="09ADC7E4" w14:textId="6A2CBF29" w:rsidR="00025DF8" w:rsidRPr="00025DF8" w:rsidRDefault="00025DF8" w:rsidP="00025DF8">
      <w:pPr>
        <w:ind w:left="360"/>
        <w:rPr>
          <w:u w:val="single"/>
        </w:rPr>
      </w:pPr>
      <w:r>
        <w:rPr>
          <w:u w:val="single"/>
        </w:rPr>
        <w:t>Table 1</w:t>
      </w:r>
    </w:p>
    <w:tbl>
      <w:tblPr>
        <w:tblStyle w:val="TableGrid"/>
        <w:tblW w:w="0" w:type="auto"/>
        <w:tblInd w:w="534" w:type="dxa"/>
        <w:tblLook w:val="04A0" w:firstRow="1" w:lastRow="0" w:firstColumn="1" w:lastColumn="0" w:noHBand="0" w:noVBand="1"/>
      </w:tblPr>
      <w:tblGrid>
        <w:gridCol w:w="2727"/>
        <w:gridCol w:w="5760"/>
      </w:tblGrid>
      <w:tr w:rsidR="00D971C0" w:rsidRPr="001D0477" w14:paraId="700DD8E1" w14:textId="77777777" w:rsidTr="00D971C0">
        <w:tc>
          <w:tcPr>
            <w:tcW w:w="2727" w:type="dxa"/>
            <w:tcBorders>
              <w:top w:val="nil"/>
              <w:left w:val="nil"/>
            </w:tcBorders>
          </w:tcPr>
          <w:p w14:paraId="72EAD72F" w14:textId="77777777" w:rsidR="00D971C0" w:rsidRDefault="00D971C0" w:rsidP="00EA6942">
            <w:pPr>
              <w:jc w:val="center"/>
            </w:pPr>
          </w:p>
        </w:tc>
        <w:tc>
          <w:tcPr>
            <w:tcW w:w="5760" w:type="dxa"/>
            <w:shd w:val="clear" w:color="auto" w:fill="DBE5F1" w:themeFill="accent1" w:themeFillTint="33"/>
          </w:tcPr>
          <w:p w14:paraId="364E2C7F" w14:textId="77777777" w:rsidR="00D971C0" w:rsidRPr="001D0477" w:rsidRDefault="00D971C0" w:rsidP="00EA6942">
            <w:pPr>
              <w:jc w:val="center"/>
              <w:rPr>
                <w:b/>
                <w:u w:val="single"/>
              </w:rPr>
            </w:pPr>
            <w:r w:rsidRPr="001D0477">
              <w:rPr>
                <w:b/>
                <w:u w:val="single"/>
              </w:rPr>
              <w:t>Total Number of Cases Reported to ASCO</w:t>
            </w:r>
          </w:p>
        </w:tc>
      </w:tr>
      <w:tr w:rsidR="00D971C0" w14:paraId="7609BC7C" w14:textId="77777777" w:rsidTr="00D971C0">
        <w:tc>
          <w:tcPr>
            <w:tcW w:w="2727" w:type="dxa"/>
            <w:shd w:val="clear" w:color="auto" w:fill="FDE9D9" w:themeFill="accent6" w:themeFillTint="33"/>
          </w:tcPr>
          <w:p w14:paraId="5E461A49" w14:textId="77777777" w:rsidR="00D971C0" w:rsidRDefault="00D971C0" w:rsidP="00EA6942">
            <w:pPr>
              <w:jc w:val="center"/>
            </w:pPr>
            <w:r>
              <w:t>Oxford City</w:t>
            </w:r>
          </w:p>
        </w:tc>
        <w:tc>
          <w:tcPr>
            <w:tcW w:w="5760" w:type="dxa"/>
            <w:shd w:val="clear" w:color="auto" w:fill="FDE9D9" w:themeFill="accent6" w:themeFillTint="33"/>
          </w:tcPr>
          <w:p w14:paraId="426B47BF" w14:textId="77777777" w:rsidR="00D971C0" w:rsidRDefault="00D971C0" w:rsidP="00EA6942">
            <w:pPr>
              <w:jc w:val="center"/>
            </w:pPr>
            <w:r>
              <w:t xml:space="preserve">126 </w:t>
            </w:r>
          </w:p>
          <w:p w14:paraId="28AC5370" w14:textId="77777777" w:rsidR="00D971C0" w:rsidRDefault="00D971C0" w:rsidP="00EA6942">
            <w:pPr>
              <w:jc w:val="center"/>
            </w:pPr>
            <w:r>
              <w:t>(101 individual; 25 business/premises)</w:t>
            </w:r>
          </w:p>
        </w:tc>
      </w:tr>
      <w:tr w:rsidR="00D971C0" w14:paraId="0977A495" w14:textId="77777777" w:rsidTr="00D971C0">
        <w:tc>
          <w:tcPr>
            <w:tcW w:w="2727" w:type="dxa"/>
            <w:shd w:val="clear" w:color="auto" w:fill="EAF1DD" w:themeFill="accent3" w:themeFillTint="33"/>
          </w:tcPr>
          <w:p w14:paraId="6E90E837" w14:textId="77777777" w:rsidR="00D971C0" w:rsidRDefault="00D971C0" w:rsidP="00EA6942">
            <w:pPr>
              <w:jc w:val="center"/>
            </w:pPr>
            <w:r>
              <w:t>Oxfordshire</w:t>
            </w:r>
          </w:p>
        </w:tc>
        <w:tc>
          <w:tcPr>
            <w:tcW w:w="5760" w:type="dxa"/>
            <w:shd w:val="clear" w:color="auto" w:fill="EAF1DD" w:themeFill="accent3" w:themeFillTint="33"/>
          </w:tcPr>
          <w:p w14:paraId="482979E5" w14:textId="77777777" w:rsidR="00D971C0" w:rsidRDefault="00D971C0" w:rsidP="00EA6942">
            <w:pPr>
              <w:jc w:val="center"/>
            </w:pPr>
            <w:r>
              <w:t>253</w:t>
            </w:r>
          </w:p>
          <w:p w14:paraId="7A362007" w14:textId="77777777" w:rsidR="00D971C0" w:rsidRDefault="00D971C0" w:rsidP="00EA6942">
            <w:pPr>
              <w:jc w:val="center"/>
            </w:pPr>
            <w:r>
              <w:t>(210 individual; 43 business/premises)</w:t>
            </w:r>
          </w:p>
        </w:tc>
      </w:tr>
    </w:tbl>
    <w:p w14:paraId="4DECE95D" w14:textId="77777777" w:rsidR="00EF4AF2" w:rsidRDefault="00EF4AF2" w:rsidP="00EF4AF2"/>
    <w:p w14:paraId="389F90D5" w14:textId="508B9069" w:rsidR="00302600" w:rsidRDefault="00302600" w:rsidP="004F4D18">
      <w:pPr>
        <w:pStyle w:val="ListParagraph"/>
        <w:numPr>
          <w:ilvl w:val="0"/>
          <w:numId w:val="6"/>
        </w:numPr>
        <w:jc w:val="both"/>
      </w:pPr>
      <w:r>
        <w:t xml:space="preserve">The numbers encompass direct referrals to </w:t>
      </w:r>
      <w:proofErr w:type="gramStart"/>
      <w:r>
        <w:t>ASCO</w:t>
      </w:r>
      <w:proofErr w:type="gramEnd"/>
      <w:r>
        <w:t xml:space="preserve"> and we also receive data from Thames Valley Police who share details received by them of those referred into the National Referral Mechanism (NRM). The NRM data is for victims identified in our area, usually by UK</w:t>
      </w:r>
      <w:r w:rsidR="0022164C">
        <w:t xml:space="preserve"> </w:t>
      </w:r>
      <w:r>
        <w:t>V</w:t>
      </w:r>
      <w:r w:rsidR="0022164C">
        <w:t xml:space="preserve">isas and </w:t>
      </w:r>
      <w:r>
        <w:t>I</w:t>
      </w:r>
      <w:r w:rsidR="0022164C">
        <w:t>mmigration (UKVI)</w:t>
      </w:r>
      <w:r>
        <w:t xml:space="preserve"> and therefore we do not have direct contact with them. </w:t>
      </w:r>
      <w:r w:rsidR="00746AF1">
        <w:t>For Oxford City, t</w:t>
      </w:r>
      <w:r>
        <w:t xml:space="preserve">here were 76 direct referrals and 50 from </w:t>
      </w:r>
      <w:r w:rsidR="00AA16BD">
        <w:t xml:space="preserve">the </w:t>
      </w:r>
      <w:r>
        <w:t>NRM</w:t>
      </w:r>
      <w:r w:rsidR="00AA16BD">
        <w:t xml:space="preserve"> during the reporting period</w:t>
      </w:r>
      <w:r>
        <w:t>.</w:t>
      </w:r>
    </w:p>
    <w:p w14:paraId="342BB335" w14:textId="76017505" w:rsidR="00207D9E" w:rsidRDefault="00207D9E" w:rsidP="004F4D18">
      <w:pPr>
        <w:pStyle w:val="ListParagraph"/>
        <w:numPr>
          <w:ilvl w:val="0"/>
          <w:numId w:val="6"/>
        </w:numPr>
        <w:jc w:val="both"/>
      </w:pPr>
      <w:r>
        <w:t xml:space="preserve">It is also important to note that data is collected for both </w:t>
      </w:r>
      <w:r w:rsidR="0036569B">
        <w:t xml:space="preserve">the </w:t>
      </w:r>
      <w:r>
        <w:t xml:space="preserve">local authority area </w:t>
      </w:r>
      <w:r w:rsidR="0036569B">
        <w:t>where the</w:t>
      </w:r>
      <w:r>
        <w:t xml:space="preserve"> victim identified resides and </w:t>
      </w:r>
      <w:r w:rsidR="0036569B">
        <w:t xml:space="preserve">the </w:t>
      </w:r>
      <w:r>
        <w:t>local authority area where exploitation occurred</w:t>
      </w:r>
      <w:r w:rsidR="0036569B">
        <w:t>,</w:t>
      </w:r>
      <w:r>
        <w:t xml:space="preserve"> as this can be different </w:t>
      </w:r>
      <w:r w:rsidR="0036569B">
        <w:t>(</w:t>
      </w:r>
      <w:proofErr w:type="gramStart"/>
      <w:r>
        <w:t>e.g.</w:t>
      </w:r>
      <w:proofErr w:type="gramEnd"/>
      <w:r>
        <w:t xml:space="preserve"> someone in labour exploitation may work in Oxford but live in Didcot</w:t>
      </w:r>
      <w:r w:rsidR="0036569B">
        <w:t>)</w:t>
      </w:r>
      <w:r>
        <w:t xml:space="preserve">. So, although there have been 126 cases in the city, these are victims who live in the city and does not encompass those who may be being exploited in the city but live elsewhere.  </w:t>
      </w:r>
    </w:p>
    <w:p w14:paraId="5A1CF48C" w14:textId="4B6628F6" w:rsidR="00EF4AF2" w:rsidRDefault="00020605" w:rsidP="004F4D18">
      <w:pPr>
        <w:pStyle w:val="ListParagraph"/>
        <w:numPr>
          <w:ilvl w:val="0"/>
          <w:numId w:val="6"/>
        </w:numPr>
        <w:contextualSpacing/>
        <w:jc w:val="both"/>
      </w:pPr>
      <w:r>
        <w:t xml:space="preserve">Out of </w:t>
      </w:r>
      <w:r w:rsidR="00C306C3">
        <w:t xml:space="preserve">the </w:t>
      </w:r>
      <w:r>
        <w:t>126</w:t>
      </w:r>
      <w:r w:rsidR="00C306C3">
        <w:t xml:space="preserve"> Oxford City referrals</w:t>
      </w:r>
      <w:r>
        <w:t>, 88 were exploited in the city</w:t>
      </w:r>
      <w:r w:rsidR="00C306C3">
        <w:t>.</w:t>
      </w:r>
      <w:r>
        <w:t xml:space="preserve"> </w:t>
      </w:r>
      <w:r w:rsidR="00EF0A8D">
        <w:t>T</w:t>
      </w:r>
      <w:r>
        <w:t xml:space="preserve">he other 38 were exploited in other areas. </w:t>
      </w:r>
      <w:r w:rsidR="00311C2F">
        <w:t xml:space="preserve">There were an additional 43 victims who lived in another authority but </w:t>
      </w:r>
      <w:r w:rsidR="00EF0A8D">
        <w:t xml:space="preserve">were </w:t>
      </w:r>
      <w:r w:rsidR="00311C2F">
        <w:t>exploited in the city.</w:t>
      </w:r>
    </w:p>
    <w:p w14:paraId="64358765" w14:textId="77777777" w:rsidR="00DD1D7A" w:rsidRDefault="00DD1D7A" w:rsidP="004F4D18">
      <w:pPr>
        <w:pStyle w:val="ListParagraph"/>
        <w:numPr>
          <w:ilvl w:val="0"/>
          <w:numId w:val="6"/>
        </w:numPr>
        <w:spacing w:before="240"/>
        <w:jc w:val="both"/>
      </w:pPr>
      <w:r>
        <w:t>The cases identified in the city are broken down into the following types of exploitation:</w:t>
      </w:r>
    </w:p>
    <w:p w14:paraId="2AF90086" w14:textId="1A927BEC" w:rsidR="00311C2F" w:rsidRDefault="00311C2F" w:rsidP="00DD1D7A">
      <w:pPr>
        <w:pStyle w:val="ListParagraph"/>
        <w:numPr>
          <w:ilvl w:val="0"/>
          <w:numId w:val="0"/>
        </w:numPr>
        <w:ind w:left="360"/>
      </w:pPr>
    </w:p>
    <w:tbl>
      <w:tblPr>
        <w:tblStyle w:val="TableGrid"/>
        <w:tblW w:w="0" w:type="auto"/>
        <w:tblInd w:w="534" w:type="dxa"/>
        <w:tblLook w:val="04A0" w:firstRow="1" w:lastRow="0" w:firstColumn="1" w:lastColumn="0" w:noHBand="0" w:noVBand="1"/>
      </w:tblPr>
      <w:tblGrid>
        <w:gridCol w:w="2546"/>
        <w:gridCol w:w="3081"/>
        <w:gridCol w:w="2878"/>
      </w:tblGrid>
      <w:tr w:rsidR="00823BBF" w14:paraId="70D75010" w14:textId="77777777" w:rsidTr="00823BBF">
        <w:tc>
          <w:tcPr>
            <w:tcW w:w="2546" w:type="dxa"/>
            <w:shd w:val="clear" w:color="auto" w:fill="DBE5F1" w:themeFill="accent1" w:themeFillTint="33"/>
          </w:tcPr>
          <w:p w14:paraId="48928D0C" w14:textId="77777777" w:rsidR="00823BBF" w:rsidRPr="001D0477" w:rsidRDefault="00823BBF" w:rsidP="00EA6942">
            <w:pPr>
              <w:jc w:val="center"/>
              <w:rPr>
                <w:b/>
                <w:u w:val="single"/>
              </w:rPr>
            </w:pPr>
            <w:r w:rsidRPr="001D0477">
              <w:rPr>
                <w:b/>
                <w:u w:val="single"/>
              </w:rPr>
              <w:t>Exploitation Classification</w:t>
            </w:r>
          </w:p>
        </w:tc>
        <w:tc>
          <w:tcPr>
            <w:tcW w:w="3081" w:type="dxa"/>
            <w:shd w:val="clear" w:color="auto" w:fill="DBE5F1" w:themeFill="accent1" w:themeFillTint="33"/>
          </w:tcPr>
          <w:p w14:paraId="3939CDF7" w14:textId="77777777" w:rsidR="00823BBF" w:rsidRPr="001D0477" w:rsidRDefault="00823BBF" w:rsidP="00EA6942">
            <w:pPr>
              <w:jc w:val="center"/>
              <w:rPr>
                <w:b/>
                <w:u w:val="single"/>
              </w:rPr>
            </w:pPr>
            <w:r w:rsidRPr="001D0477">
              <w:rPr>
                <w:b/>
                <w:u w:val="single"/>
              </w:rPr>
              <w:t>Oxford</w:t>
            </w:r>
          </w:p>
        </w:tc>
        <w:tc>
          <w:tcPr>
            <w:tcW w:w="2878" w:type="dxa"/>
            <w:shd w:val="clear" w:color="auto" w:fill="DBE5F1" w:themeFill="accent1" w:themeFillTint="33"/>
          </w:tcPr>
          <w:p w14:paraId="799F56F1" w14:textId="77777777" w:rsidR="00823BBF" w:rsidRPr="001D0477" w:rsidRDefault="00823BBF" w:rsidP="00EA6942">
            <w:pPr>
              <w:jc w:val="center"/>
              <w:rPr>
                <w:b/>
                <w:u w:val="single"/>
              </w:rPr>
            </w:pPr>
            <w:r w:rsidRPr="001D0477">
              <w:rPr>
                <w:b/>
                <w:u w:val="single"/>
              </w:rPr>
              <w:t>Oxfordshire</w:t>
            </w:r>
          </w:p>
        </w:tc>
      </w:tr>
      <w:tr w:rsidR="00823BBF" w14:paraId="3E405AF2" w14:textId="77777777" w:rsidTr="00823BBF">
        <w:tc>
          <w:tcPr>
            <w:tcW w:w="2546" w:type="dxa"/>
          </w:tcPr>
          <w:p w14:paraId="0F27610A" w14:textId="77777777" w:rsidR="00823BBF" w:rsidRDefault="00823BBF" w:rsidP="00EA6942">
            <w:r>
              <w:t>Criminal Exploitation</w:t>
            </w:r>
          </w:p>
        </w:tc>
        <w:tc>
          <w:tcPr>
            <w:tcW w:w="3081" w:type="dxa"/>
            <w:shd w:val="clear" w:color="auto" w:fill="FDE9D9" w:themeFill="accent6" w:themeFillTint="33"/>
          </w:tcPr>
          <w:p w14:paraId="74C26D69" w14:textId="77777777" w:rsidR="00823BBF" w:rsidRDefault="00823BBF" w:rsidP="00EA6942">
            <w:pPr>
              <w:jc w:val="center"/>
            </w:pPr>
            <w:r>
              <w:t>32</w:t>
            </w:r>
          </w:p>
        </w:tc>
        <w:tc>
          <w:tcPr>
            <w:tcW w:w="2878" w:type="dxa"/>
            <w:shd w:val="clear" w:color="auto" w:fill="EAF1DD" w:themeFill="accent3" w:themeFillTint="33"/>
          </w:tcPr>
          <w:p w14:paraId="61EC387F" w14:textId="77777777" w:rsidR="00823BBF" w:rsidRDefault="00823BBF" w:rsidP="00EA6942">
            <w:pPr>
              <w:jc w:val="center"/>
            </w:pPr>
            <w:r>
              <w:t>70</w:t>
            </w:r>
          </w:p>
        </w:tc>
      </w:tr>
      <w:tr w:rsidR="00823BBF" w14:paraId="5AC96428" w14:textId="77777777" w:rsidTr="00823BBF">
        <w:tc>
          <w:tcPr>
            <w:tcW w:w="2546" w:type="dxa"/>
          </w:tcPr>
          <w:p w14:paraId="45EDC497" w14:textId="77777777" w:rsidR="00823BBF" w:rsidRDefault="00823BBF" w:rsidP="00EA6942">
            <w:r>
              <w:t>Cultural Exploitation</w:t>
            </w:r>
          </w:p>
        </w:tc>
        <w:tc>
          <w:tcPr>
            <w:tcW w:w="3081" w:type="dxa"/>
            <w:shd w:val="clear" w:color="auto" w:fill="FDE9D9" w:themeFill="accent6" w:themeFillTint="33"/>
          </w:tcPr>
          <w:p w14:paraId="4D9BA40E" w14:textId="77777777" w:rsidR="00823BBF" w:rsidRDefault="00823BBF" w:rsidP="00EA6942">
            <w:pPr>
              <w:jc w:val="center"/>
            </w:pPr>
            <w:r>
              <w:t>1</w:t>
            </w:r>
          </w:p>
        </w:tc>
        <w:tc>
          <w:tcPr>
            <w:tcW w:w="2878" w:type="dxa"/>
            <w:shd w:val="clear" w:color="auto" w:fill="EAF1DD" w:themeFill="accent3" w:themeFillTint="33"/>
          </w:tcPr>
          <w:p w14:paraId="66F186B3" w14:textId="77777777" w:rsidR="00823BBF" w:rsidRDefault="00823BBF" w:rsidP="00EA6942">
            <w:pPr>
              <w:jc w:val="center"/>
            </w:pPr>
            <w:r>
              <w:t>1</w:t>
            </w:r>
          </w:p>
        </w:tc>
      </w:tr>
      <w:tr w:rsidR="00823BBF" w14:paraId="12F20192" w14:textId="77777777" w:rsidTr="00823BBF">
        <w:tc>
          <w:tcPr>
            <w:tcW w:w="2546" w:type="dxa"/>
          </w:tcPr>
          <w:p w14:paraId="7B143848" w14:textId="77777777" w:rsidR="00823BBF" w:rsidRDefault="00823BBF" w:rsidP="00EA6942">
            <w:r>
              <w:t>Domestic Servitude</w:t>
            </w:r>
          </w:p>
        </w:tc>
        <w:tc>
          <w:tcPr>
            <w:tcW w:w="3081" w:type="dxa"/>
            <w:shd w:val="clear" w:color="auto" w:fill="FDE9D9" w:themeFill="accent6" w:themeFillTint="33"/>
          </w:tcPr>
          <w:p w14:paraId="51C0159F" w14:textId="77777777" w:rsidR="00823BBF" w:rsidRDefault="00823BBF" w:rsidP="00EA6942">
            <w:pPr>
              <w:jc w:val="center"/>
            </w:pPr>
            <w:r>
              <w:t>5</w:t>
            </w:r>
          </w:p>
        </w:tc>
        <w:tc>
          <w:tcPr>
            <w:tcW w:w="2878" w:type="dxa"/>
            <w:shd w:val="clear" w:color="auto" w:fill="EAF1DD" w:themeFill="accent3" w:themeFillTint="33"/>
          </w:tcPr>
          <w:p w14:paraId="510A4B27" w14:textId="77777777" w:rsidR="00823BBF" w:rsidRDefault="00823BBF" w:rsidP="00EA6942">
            <w:pPr>
              <w:jc w:val="center"/>
            </w:pPr>
            <w:r>
              <w:t>12</w:t>
            </w:r>
          </w:p>
        </w:tc>
      </w:tr>
      <w:tr w:rsidR="00823BBF" w14:paraId="79EBCBE0" w14:textId="77777777" w:rsidTr="00823BBF">
        <w:tc>
          <w:tcPr>
            <w:tcW w:w="2546" w:type="dxa"/>
          </w:tcPr>
          <w:p w14:paraId="6932EED1" w14:textId="77777777" w:rsidR="00823BBF" w:rsidRDefault="00823BBF" w:rsidP="00EA6942">
            <w:r>
              <w:t>Financial Exploitation</w:t>
            </w:r>
          </w:p>
        </w:tc>
        <w:tc>
          <w:tcPr>
            <w:tcW w:w="3081" w:type="dxa"/>
            <w:shd w:val="clear" w:color="auto" w:fill="FDE9D9" w:themeFill="accent6" w:themeFillTint="33"/>
          </w:tcPr>
          <w:p w14:paraId="6200AB47" w14:textId="77777777" w:rsidR="00823BBF" w:rsidRDefault="00823BBF" w:rsidP="00EA6942">
            <w:pPr>
              <w:jc w:val="center"/>
            </w:pPr>
            <w:r>
              <w:t>3</w:t>
            </w:r>
          </w:p>
        </w:tc>
        <w:tc>
          <w:tcPr>
            <w:tcW w:w="2878" w:type="dxa"/>
            <w:shd w:val="clear" w:color="auto" w:fill="EAF1DD" w:themeFill="accent3" w:themeFillTint="33"/>
          </w:tcPr>
          <w:p w14:paraId="4EB7BD73" w14:textId="77777777" w:rsidR="00823BBF" w:rsidRDefault="00823BBF" w:rsidP="00EA6942">
            <w:pPr>
              <w:jc w:val="center"/>
            </w:pPr>
            <w:r>
              <w:t>14</w:t>
            </w:r>
          </w:p>
        </w:tc>
      </w:tr>
      <w:tr w:rsidR="00823BBF" w14:paraId="79B7D1E4" w14:textId="77777777" w:rsidTr="00823BBF">
        <w:tc>
          <w:tcPr>
            <w:tcW w:w="2546" w:type="dxa"/>
          </w:tcPr>
          <w:p w14:paraId="65F94E2D" w14:textId="77777777" w:rsidR="00823BBF" w:rsidRDefault="00823BBF" w:rsidP="00EA6942">
            <w:r>
              <w:t>Labour Exploitation</w:t>
            </w:r>
          </w:p>
        </w:tc>
        <w:tc>
          <w:tcPr>
            <w:tcW w:w="3081" w:type="dxa"/>
            <w:shd w:val="clear" w:color="auto" w:fill="FDE9D9" w:themeFill="accent6" w:themeFillTint="33"/>
          </w:tcPr>
          <w:p w14:paraId="283913A7" w14:textId="77777777" w:rsidR="00823BBF" w:rsidRDefault="00823BBF" w:rsidP="00EA6942">
            <w:pPr>
              <w:jc w:val="center"/>
            </w:pPr>
            <w:r>
              <w:t>43</w:t>
            </w:r>
          </w:p>
        </w:tc>
        <w:tc>
          <w:tcPr>
            <w:tcW w:w="2878" w:type="dxa"/>
            <w:shd w:val="clear" w:color="auto" w:fill="EAF1DD" w:themeFill="accent3" w:themeFillTint="33"/>
          </w:tcPr>
          <w:p w14:paraId="30B3B873" w14:textId="77777777" w:rsidR="00823BBF" w:rsidRDefault="00823BBF" w:rsidP="00EA6942">
            <w:pPr>
              <w:jc w:val="center"/>
            </w:pPr>
            <w:r>
              <w:t>115</w:t>
            </w:r>
          </w:p>
        </w:tc>
      </w:tr>
      <w:tr w:rsidR="00823BBF" w14:paraId="3E609829" w14:textId="77777777" w:rsidTr="00823BBF">
        <w:tc>
          <w:tcPr>
            <w:tcW w:w="2546" w:type="dxa"/>
          </w:tcPr>
          <w:p w14:paraId="1BFC07EC" w14:textId="77777777" w:rsidR="00823BBF" w:rsidRDefault="00823BBF" w:rsidP="00EA6942">
            <w:r>
              <w:t>Sexual Exploitation</w:t>
            </w:r>
          </w:p>
        </w:tc>
        <w:tc>
          <w:tcPr>
            <w:tcW w:w="3081" w:type="dxa"/>
            <w:shd w:val="clear" w:color="auto" w:fill="FDE9D9" w:themeFill="accent6" w:themeFillTint="33"/>
          </w:tcPr>
          <w:p w14:paraId="2EC8B862" w14:textId="77777777" w:rsidR="00823BBF" w:rsidRDefault="00823BBF" w:rsidP="00EA6942">
            <w:pPr>
              <w:jc w:val="center"/>
            </w:pPr>
            <w:r>
              <w:t>40</w:t>
            </w:r>
          </w:p>
        </w:tc>
        <w:tc>
          <w:tcPr>
            <w:tcW w:w="2878" w:type="dxa"/>
            <w:shd w:val="clear" w:color="auto" w:fill="EAF1DD" w:themeFill="accent3" w:themeFillTint="33"/>
          </w:tcPr>
          <w:p w14:paraId="655664A9" w14:textId="77777777" w:rsidR="00823BBF" w:rsidRDefault="00823BBF" w:rsidP="00EA6942">
            <w:pPr>
              <w:jc w:val="center"/>
            </w:pPr>
            <w:r>
              <w:t>46</w:t>
            </w:r>
          </w:p>
        </w:tc>
      </w:tr>
      <w:tr w:rsidR="00823BBF" w14:paraId="32DE63BF" w14:textId="77777777" w:rsidTr="00823BBF">
        <w:tc>
          <w:tcPr>
            <w:tcW w:w="2546" w:type="dxa"/>
          </w:tcPr>
          <w:p w14:paraId="1ABA44E6" w14:textId="77777777" w:rsidR="00823BBF" w:rsidRDefault="00823BBF" w:rsidP="00EA6942">
            <w:r>
              <w:lastRenderedPageBreak/>
              <w:t>Unknown</w:t>
            </w:r>
          </w:p>
        </w:tc>
        <w:tc>
          <w:tcPr>
            <w:tcW w:w="3081" w:type="dxa"/>
            <w:shd w:val="clear" w:color="auto" w:fill="FDE9D9" w:themeFill="accent6" w:themeFillTint="33"/>
          </w:tcPr>
          <w:p w14:paraId="76F1E386" w14:textId="77777777" w:rsidR="00823BBF" w:rsidRDefault="00823BBF" w:rsidP="00EA6942">
            <w:pPr>
              <w:jc w:val="center"/>
            </w:pPr>
            <w:r>
              <w:t>2</w:t>
            </w:r>
          </w:p>
        </w:tc>
        <w:tc>
          <w:tcPr>
            <w:tcW w:w="2878" w:type="dxa"/>
            <w:shd w:val="clear" w:color="auto" w:fill="EAF1DD" w:themeFill="accent3" w:themeFillTint="33"/>
          </w:tcPr>
          <w:p w14:paraId="38B27FD2" w14:textId="77777777" w:rsidR="00823BBF" w:rsidRDefault="00823BBF" w:rsidP="00EA6942">
            <w:pPr>
              <w:jc w:val="center"/>
            </w:pPr>
            <w:r>
              <w:t>4</w:t>
            </w:r>
          </w:p>
        </w:tc>
      </w:tr>
    </w:tbl>
    <w:p w14:paraId="78F8CDE7" w14:textId="77777777" w:rsidR="00DD1D7A" w:rsidRDefault="00DD1D7A" w:rsidP="00DD1D7A">
      <w:pPr>
        <w:pStyle w:val="ListParagraph"/>
        <w:numPr>
          <w:ilvl w:val="0"/>
          <w:numId w:val="0"/>
        </w:numPr>
        <w:ind w:left="360"/>
      </w:pPr>
    </w:p>
    <w:p w14:paraId="29758438" w14:textId="1FF68BC9" w:rsidR="00BB6DA1" w:rsidRDefault="00BB6DA1" w:rsidP="004F4D18">
      <w:pPr>
        <w:pStyle w:val="ListParagraph"/>
        <w:numPr>
          <w:ilvl w:val="0"/>
          <w:numId w:val="6"/>
        </w:numPr>
        <w:jc w:val="both"/>
      </w:pPr>
      <w:r>
        <w:t>Labour, Sexual</w:t>
      </w:r>
      <w:r w:rsidR="00204002">
        <w:t>,</w:t>
      </w:r>
      <w:r>
        <w:t xml:space="preserve"> then Criminal are the City’s highest forms of exploitation</w:t>
      </w:r>
      <w:r w:rsidR="00BF7655">
        <w:t>. C</w:t>
      </w:r>
      <w:r>
        <w:t xml:space="preserve">ollection of data to determine the categories of exploitation shows </w:t>
      </w:r>
      <w:r w:rsidR="00BF7655">
        <w:t xml:space="preserve">the </w:t>
      </w:r>
      <w:r>
        <w:t xml:space="preserve">highest being: </w:t>
      </w:r>
    </w:p>
    <w:p w14:paraId="5F27098C" w14:textId="77777777" w:rsidR="002D5E00" w:rsidRDefault="002D5E00" w:rsidP="004F4D18">
      <w:pPr>
        <w:pStyle w:val="ListParagraph"/>
        <w:numPr>
          <w:ilvl w:val="0"/>
          <w:numId w:val="7"/>
        </w:numPr>
        <w:tabs>
          <w:tab w:val="clear" w:pos="426"/>
        </w:tabs>
        <w:spacing w:after="0"/>
        <w:contextualSpacing/>
        <w:jc w:val="both"/>
      </w:pPr>
      <w:r>
        <w:t>Labour – Domiciliary care, hospitality and retail, car washes</w:t>
      </w:r>
    </w:p>
    <w:p w14:paraId="19460ECD" w14:textId="77777777" w:rsidR="00EE2AD4" w:rsidRDefault="00EE2AD4" w:rsidP="004F4D18">
      <w:pPr>
        <w:pStyle w:val="ListParagraph"/>
        <w:numPr>
          <w:ilvl w:val="0"/>
          <w:numId w:val="7"/>
        </w:numPr>
        <w:tabs>
          <w:tab w:val="clear" w:pos="426"/>
        </w:tabs>
        <w:spacing w:after="0"/>
        <w:contextualSpacing/>
        <w:jc w:val="both"/>
      </w:pPr>
      <w:r>
        <w:t>Sexual – brothels and prostitution</w:t>
      </w:r>
    </w:p>
    <w:p w14:paraId="281A0ABF" w14:textId="77777777" w:rsidR="0021144D" w:rsidRDefault="0021144D" w:rsidP="004F4D18">
      <w:pPr>
        <w:pStyle w:val="ListParagraph"/>
        <w:numPr>
          <w:ilvl w:val="0"/>
          <w:numId w:val="7"/>
        </w:numPr>
        <w:tabs>
          <w:tab w:val="clear" w:pos="426"/>
        </w:tabs>
        <w:spacing w:after="0"/>
        <w:contextualSpacing/>
        <w:jc w:val="both"/>
      </w:pPr>
      <w:r>
        <w:t>Criminal – cannabis cultivation, county lines, cuckooing and forced drug dealing and/or concealing drugs.</w:t>
      </w:r>
    </w:p>
    <w:p w14:paraId="2C07F753" w14:textId="27B5C085" w:rsidR="00EF4AF2" w:rsidRDefault="00EF4AF2" w:rsidP="0021144D"/>
    <w:p w14:paraId="1E9F3A52" w14:textId="0ABABDB3" w:rsidR="0021144D" w:rsidRPr="0021144D" w:rsidRDefault="0021144D" w:rsidP="0021144D">
      <w:pPr>
        <w:rPr>
          <w:b/>
          <w:bCs/>
        </w:rPr>
      </w:pPr>
      <w:r>
        <w:rPr>
          <w:b/>
          <w:bCs/>
        </w:rPr>
        <w:t>Victim Profile</w:t>
      </w:r>
    </w:p>
    <w:tbl>
      <w:tblPr>
        <w:tblStyle w:val="TableGrid"/>
        <w:tblW w:w="0" w:type="auto"/>
        <w:tblInd w:w="534" w:type="dxa"/>
        <w:tblLook w:val="04A0" w:firstRow="1" w:lastRow="0" w:firstColumn="1" w:lastColumn="0" w:noHBand="0" w:noVBand="1"/>
      </w:tblPr>
      <w:tblGrid>
        <w:gridCol w:w="2477"/>
        <w:gridCol w:w="2995"/>
        <w:gridCol w:w="3015"/>
      </w:tblGrid>
      <w:tr w:rsidR="0014181A" w14:paraId="681EDA5E" w14:textId="77777777" w:rsidTr="0014181A">
        <w:tc>
          <w:tcPr>
            <w:tcW w:w="2477" w:type="dxa"/>
            <w:tcBorders>
              <w:top w:val="nil"/>
              <w:left w:val="nil"/>
            </w:tcBorders>
            <w:shd w:val="clear" w:color="auto" w:fill="FFFFFF" w:themeFill="background1"/>
          </w:tcPr>
          <w:p w14:paraId="2D8C9798" w14:textId="77777777" w:rsidR="0014181A" w:rsidRPr="001D0477" w:rsidRDefault="0014181A" w:rsidP="00EA6942">
            <w:pPr>
              <w:jc w:val="center"/>
              <w:rPr>
                <w:b/>
                <w:u w:val="single"/>
              </w:rPr>
            </w:pPr>
          </w:p>
        </w:tc>
        <w:tc>
          <w:tcPr>
            <w:tcW w:w="2995" w:type="dxa"/>
            <w:shd w:val="clear" w:color="auto" w:fill="DBE5F1" w:themeFill="accent1" w:themeFillTint="33"/>
          </w:tcPr>
          <w:p w14:paraId="05A05D6A" w14:textId="77777777" w:rsidR="0014181A" w:rsidRPr="001D0477" w:rsidRDefault="0014181A" w:rsidP="00EA6942">
            <w:pPr>
              <w:jc w:val="center"/>
              <w:rPr>
                <w:b/>
                <w:u w:val="single"/>
              </w:rPr>
            </w:pPr>
            <w:r w:rsidRPr="001D0477">
              <w:rPr>
                <w:b/>
                <w:u w:val="single"/>
              </w:rPr>
              <w:t>Oxford</w:t>
            </w:r>
          </w:p>
        </w:tc>
        <w:tc>
          <w:tcPr>
            <w:tcW w:w="3015" w:type="dxa"/>
            <w:shd w:val="clear" w:color="auto" w:fill="DBE5F1" w:themeFill="accent1" w:themeFillTint="33"/>
          </w:tcPr>
          <w:p w14:paraId="742C7203" w14:textId="77777777" w:rsidR="0014181A" w:rsidRPr="001D0477" w:rsidRDefault="0014181A" w:rsidP="00EA6942">
            <w:pPr>
              <w:jc w:val="center"/>
              <w:rPr>
                <w:b/>
                <w:u w:val="single"/>
              </w:rPr>
            </w:pPr>
            <w:r w:rsidRPr="001D0477">
              <w:rPr>
                <w:b/>
                <w:u w:val="single"/>
              </w:rPr>
              <w:t>Oxfordshire</w:t>
            </w:r>
          </w:p>
        </w:tc>
      </w:tr>
      <w:tr w:rsidR="0014181A" w14:paraId="24AB8A07" w14:textId="77777777" w:rsidTr="0014181A">
        <w:tc>
          <w:tcPr>
            <w:tcW w:w="8487" w:type="dxa"/>
            <w:gridSpan w:val="3"/>
          </w:tcPr>
          <w:p w14:paraId="02AC3CF7" w14:textId="77777777" w:rsidR="0014181A" w:rsidRDefault="0014181A" w:rsidP="00EA6942">
            <w:r>
              <w:rPr>
                <w:b/>
                <w:bCs/>
                <w:u w:val="single"/>
              </w:rPr>
              <w:t>Gender</w:t>
            </w:r>
          </w:p>
        </w:tc>
      </w:tr>
      <w:tr w:rsidR="0014181A" w14:paraId="24E24AFB" w14:textId="77777777" w:rsidTr="0014181A">
        <w:tc>
          <w:tcPr>
            <w:tcW w:w="2477" w:type="dxa"/>
          </w:tcPr>
          <w:p w14:paraId="63DAEE28" w14:textId="77777777" w:rsidR="0014181A" w:rsidRDefault="0014181A" w:rsidP="00EA6942">
            <w:r>
              <w:t>Female</w:t>
            </w:r>
          </w:p>
        </w:tc>
        <w:tc>
          <w:tcPr>
            <w:tcW w:w="2995" w:type="dxa"/>
            <w:shd w:val="clear" w:color="auto" w:fill="FDE9D9" w:themeFill="accent6" w:themeFillTint="33"/>
          </w:tcPr>
          <w:p w14:paraId="60EF6D8A" w14:textId="77777777" w:rsidR="0014181A" w:rsidRDefault="0014181A" w:rsidP="00EA6942">
            <w:pPr>
              <w:jc w:val="center"/>
            </w:pPr>
            <w:r>
              <w:t>46</w:t>
            </w:r>
          </w:p>
        </w:tc>
        <w:tc>
          <w:tcPr>
            <w:tcW w:w="3015" w:type="dxa"/>
            <w:shd w:val="clear" w:color="auto" w:fill="EAF1DD" w:themeFill="accent3" w:themeFillTint="33"/>
          </w:tcPr>
          <w:p w14:paraId="5C4A2E62" w14:textId="77777777" w:rsidR="0014181A" w:rsidRDefault="0014181A" w:rsidP="00EA6942">
            <w:pPr>
              <w:jc w:val="center"/>
            </w:pPr>
            <w:r>
              <w:t>98</w:t>
            </w:r>
          </w:p>
        </w:tc>
      </w:tr>
      <w:tr w:rsidR="0014181A" w14:paraId="7FF21FC6" w14:textId="77777777" w:rsidTr="0014181A">
        <w:tc>
          <w:tcPr>
            <w:tcW w:w="2477" w:type="dxa"/>
          </w:tcPr>
          <w:p w14:paraId="18634FCF" w14:textId="77777777" w:rsidR="0014181A" w:rsidRDefault="0014181A" w:rsidP="00EA6942">
            <w:r>
              <w:t>Male</w:t>
            </w:r>
          </w:p>
        </w:tc>
        <w:tc>
          <w:tcPr>
            <w:tcW w:w="2995" w:type="dxa"/>
            <w:shd w:val="clear" w:color="auto" w:fill="FDE9D9" w:themeFill="accent6" w:themeFillTint="33"/>
          </w:tcPr>
          <w:p w14:paraId="34F97CC2" w14:textId="77777777" w:rsidR="0014181A" w:rsidRDefault="0014181A" w:rsidP="00EA6942">
            <w:pPr>
              <w:jc w:val="center"/>
            </w:pPr>
            <w:r>
              <w:t>57</w:t>
            </w:r>
          </w:p>
        </w:tc>
        <w:tc>
          <w:tcPr>
            <w:tcW w:w="3015" w:type="dxa"/>
            <w:shd w:val="clear" w:color="auto" w:fill="EAF1DD" w:themeFill="accent3" w:themeFillTint="33"/>
          </w:tcPr>
          <w:p w14:paraId="62340008" w14:textId="77777777" w:rsidR="0014181A" w:rsidRDefault="0014181A" w:rsidP="00EA6942">
            <w:pPr>
              <w:jc w:val="center"/>
            </w:pPr>
            <w:r>
              <w:t>114</w:t>
            </w:r>
          </w:p>
        </w:tc>
      </w:tr>
      <w:tr w:rsidR="0014181A" w14:paraId="25A7A212" w14:textId="77777777" w:rsidTr="0014181A">
        <w:tc>
          <w:tcPr>
            <w:tcW w:w="8487" w:type="dxa"/>
            <w:gridSpan w:val="3"/>
          </w:tcPr>
          <w:p w14:paraId="06B9EC37" w14:textId="77777777" w:rsidR="0014181A" w:rsidRPr="00CF5669" w:rsidRDefault="0014181A" w:rsidP="00EA6942">
            <w:pPr>
              <w:rPr>
                <w:b/>
                <w:bCs/>
                <w:u w:val="single"/>
              </w:rPr>
            </w:pPr>
            <w:r w:rsidRPr="00CF5669">
              <w:rPr>
                <w:b/>
                <w:bCs/>
                <w:u w:val="single"/>
              </w:rPr>
              <w:t xml:space="preserve">Nationality (Top </w:t>
            </w:r>
            <w:r>
              <w:rPr>
                <w:b/>
                <w:bCs/>
                <w:u w:val="single"/>
              </w:rPr>
              <w:t>3)</w:t>
            </w:r>
          </w:p>
        </w:tc>
      </w:tr>
      <w:tr w:rsidR="0014181A" w14:paraId="46A31E21" w14:textId="77777777" w:rsidTr="0014181A">
        <w:tc>
          <w:tcPr>
            <w:tcW w:w="2477" w:type="dxa"/>
          </w:tcPr>
          <w:p w14:paraId="2B0146D6" w14:textId="77777777" w:rsidR="0014181A" w:rsidRDefault="0014181A" w:rsidP="00EA6942">
            <w:r>
              <w:t>British</w:t>
            </w:r>
          </w:p>
        </w:tc>
        <w:tc>
          <w:tcPr>
            <w:tcW w:w="2995" w:type="dxa"/>
            <w:shd w:val="clear" w:color="auto" w:fill="FDE9D9" w:themeFill="accent6" w:themeFillTint="33"/>
          </w:tcPr>
          <w:p w14:paraId="6B073F5B" w14:textId="77777777" w:rsidR="0014181A" w:rsidRDefault="0014181A" w:rsidP="00EA6942">
            <w:pPr>
              <w:jc w:val="center"/>
            </w:pPr>
            <w:r>
              <w:t>26</w:t>
            </w:r>
          </w:p>
        </w:tc>
        <w:tc>
          <w:tcPr>
            <w:tcW w:w="3015" w:type="dxa"/>
            <w:shd w:val="clear" w:color="auto" w:fill="EAF1DD" w:themeFill="accent3" w:themeFillTint="33"/>
          </w:tcPr>
          <w:p w14:paraId="10166811" w14:textId="77777777" w:rsidR="0014181A" w:rsidRDefault="0014181A" w:rsidP="00EA6942">
            <w:pPr>
              <w:jc w:val="center"/>
            </w:pPr>
            <w:r>
              <w:t>58</w:t>
            </w:r>
          </w:p>
        </w:tc>
      </w:tr>
      <w:tr w:rsidR="0014181A" w14:paraId="1861019C" w14:textId="77777777" w:rsidTr="0014181A">
        <w:tc>
          <w:tcPr>
            <w:tcW w:w="2477" w:type="dxa"/>
          </w:tcPr>
          <w:p w14:paraId="7AC7BC8A" w14:textId="77777777" w:rsidR="0014181A" w:rsidRDefault="0014181A" w:rsidP="00EA6942">
            <w:r>
              <w:t>Albanian</w:t>
            </w:r>
          </w:p>
        </w:tc>
        <w:tc>
          <w:tcPr>
            <w:tcW w:w="2995" w:type="dxa"/>
            <w:shd w:val="clear" w:color="auto" w:fill="FDE9D9" w:themeFill="accent6" w:themeFillTint="33"/>
          </w:tcPr>
          <w:p w14:paraId="5B98F131" w14:textId="77777777" w:rsidR="0014181A" w:rsidRDefault="0014181A" w:rsidP="00EA6942">
            <w:pPr>
              <w:jc w:val="center"/>
            </w:pPr>
            <w:r>
              <w:t>20</w:t>
            </w:r>
          </w:p>
        </w:tc>
        <w:tc>
          <w:tcPr>
            <w:tcW w:w="3015" w:type="dxa"/>
            <w:shd w:val="clear" w:color="auto" w:fill="EAF1DD" w:themeFill="accent3" w:themeFillTint="33"/>
          </w:tcPr>
          <w:p w14:paraId="1569D6C5" w14:textId="77777777" w:rsidR="0014181A" w:rsidRDefault="0014181A" w:rsidP="00EA6942">
            <w:pPr>
              <w:jc w:val="center"/>
            </w:pPr>
            <w:r>
              <w:t>35</w:t>
            </w:r>
          </w:p>
        </w:tc>
      </w:tr>
      <w:tr w:rsidR="0014181A" w14:paraId="205A0AB5" w14:textId="77777777" w:rsidTr="0014181A">
        <w:tc>
          <w:tcPr>
            <w:tcW w:w="2477" w:type="dxa"/>
          </w:tcPr>
          <w:p w14:paraId="5C87806E" w14:textId="77777777" w:rsidR="0014181A" w:rsidRDefault="0014181A" w:rsidP="00EA6942">
            <w:r>
              <w:t>Romanian</w:t>
            </w:r>
          </w:p>
        </w:tc>
        <w:tc>
          <w:tcPr>
            <w:tcW w:w="2995" w:type="dxa"/>
            <w:shd w:val="clear" w:color="auto" w:fill="FDE9D9" w:themeFill="accent6" w:themeFillTint="33"/>
          </w:tcPr>
          <w:p w14:paraId="5556F618" w14:textId="77777777" w:rsidR="0014181A" w:rsidRDefault="0014181A" w:rsidP="00EA6942">
            <w:pPr>
              <w:jc w:val="center"/>
            </w:pPr>
            <w:r>
              <w:t>19</w:t>
            </w:r>
          </w:p>
        </w:tc>
        <w:tc>
          <w:tcPr>
            <w:tcW w:w="3015" w:type="dxa"/>
            <w:shd w:val="clear" w:color="auto" w:fill="EAF1DD" w:themeFill="accent3" w:themeFillTint="33"/>
          </w:tcPr>
          <w:p w14:paraId="042BD369" w14:textId="77777777" w:rsidR="0014181A" w:rsidRDefault="0014181A" w:rsidP="00EA6942">
            <w:pPr>
              <w:jc w:val="center"/>
            </w:pPr>
            <w:r>
              <w:t>19</w:t>
            </w:r>
          </w:p>
        </w:tc>
      </w:tr>
      <w:tr w:rsidR="0014181A" w14:paraId="3D28EE19" w14:textId="77777777" w:rsidTr="0014181A">
        <w:tc>
          <w:tcPr>
            <w:tcW w:w="8487" w:type="dxa"/>
            <w:gridSpan w:val="3"/>
          </w:tcPr>
          <w:p w14:paraId="395997FF" w14:textId="77777777" w:rsidR="0014181A" w:rsidRDefault="0014181A" w:rsidP="00EA6942">
            <w:r>
              <w:rPr>
                <w:b/>
                <w:bCs/>
                <w:u w:val="single"/>
              </w:rPr>
              <w:t>Age Range</w:t>
            </w:r>
          </w:p>
        </w:tc>
      </w:tr>
      <w:tr w:rsidR="0014181A" w14:paraId="09B81538" w14:textId="77777777" w:rsidTr="0014181A">
        <w:tc>
          <w:tcPr>
            <w:tcW w:w="2477" w:type="dxa"/>
          </w:tcPr>
          <w:p w14:paraId="66431477" w14:textId="77777777" w:rsidR="0014181A" w:rsidRPr="00A53A45" w:rsidRDefault="0014181A" w:rsidP="00EA6942">
            <w:r>
              <w:t>18-24</w:t>
            </w:r>
          </w:p>
        </w:tc>
        <w:tc>
          <w:tcPr>
            <w:tcW w:w="2995" w:type="dxa"/>
            <w:shd w:val="clear" w:color="auto" w:fill="FDE9D9" w:themeFill="accent6" w:themeFillTint="33"/>
          </w:tcPr>
          <w:p w14:paraId="3674FBD6" w14:textId="77777777" w:rsidR="0014181A" w:rsidRDefault="0014181A" w:rsidP="00EA6942">
            <w:pPr>
              <w:jc w:val="center"/>
            </w:pPr>
            <w:r>
              <w:t>16</w:t>
            </w:r>
          </w:p>
        </w:tc>
        <w:tc>
          <w:tcPr>
            <w:tcW w:w="3015" w:type="dxa"/>
            <w:shd w:val="clear" w:color="auto" w:fill="EAF1DD" w:themeFill="accent3" w:themeFillTint="33"/>
          </w:tcPr>
          <w:p w14:paraId="40EE1C14" w14:textId="77777777" w:rsidR="0014181A" w:rsidRDefault="0014181A" w:rsidP="00EA6942">
            <w:pPr>
              <w:jc w:val="center"/>
            </w:pPr>
            <w:r>
              <w:t>31</w:t>
            </w:r>
          </w:p>
        </w:tc>
      </w:tr>
      <w:tr w:rsidR="0014181A" w14:paraId="63933713" w14:textId="77777777" w:rsidTr="0014181A">
        <w:tc>
          <w:tcPr>
            <w:tcW w:w="2477" w:type="dxa"/>
          </w:tcPr>
          <w:p w14:paraId="7612B2AC" w14:textId="77777777" w:rsidR="0014181A" w:rsidRPr="003B3A58" w:rsidRDefault="0014181A" w:rsidP="00EA6942">
            <w:r w:rsidRPr="003B3A58">
              <w:t>25-34</w:t>
            </w:r>
          </w:p>
        </w:tc>
        <w:tc>
          <w:tcPr>
            <w:tcW w:w="2995" w:type="dxa"/>
            <w:shd w:val="clear" w:color="auto" w:fill="FDE9D9" w:themeFill="accent6" w:themeFillTint="33"/>
          </w:tcPr>
          <w:p w14:paraId="465D6C91" w14:textId="77777777" w:rsidR="0014181A" w:rsidRDefault="0014181A" w:rsidP="00EA6942">
            <w:pPr>
              <w:jc w:val="center"/>
            </w:pPr>
            <w:r>
              <w:t>22</w:t>
            </w:r>
          </w:p>
        </w:tc>
        <w:tc>
          <w:tcPr>
            <w:tcW w:w="3015" w:type="dxa"/>
            <w:shd w:val="clear" w:color="auto" w:fill="EAF1DD" w:themeFill="accent3" w:themeFillTint="33"/>
          </w:tcPr>
          <w:p w14:paraId="091AC8BA" w14:textId="77777777" w:rsidR="0014181A" w:rsidRDefault="0014181A" w:rsidP="00EA6942">
            <w:pPr>
              <w:jc w:val="center"/>
            </w:pPr>
            <w:r>
              <w:t>53</w:t>
            </w:r>
          </w:p>
        </w:tc>
      </w:tr>
      <w:tr w:rsidR="0014181A" w14:paraId="507CC0F0" w14:textId="77777777" w:rsidTr="0014181A">
        <w:tc>
          <w:tcPr>
            <w:tcW w:w="2477" w:type="dxa"/>
          </w:tcPr>
          <w:p w14:paraId="21B4B3E3" w14:textId="77777777" w:rsidR="0014181A" w:rsidRPr="003B3A58" w:rsidRDefault="0014181A" w:rsidP="00EA6942">
            <w:r>
              <w:t>35-44</w:t>
            </w:r>
          </w:p>
        </w:tc>
        <w:tc>
          <w:tcPr>
            <w:tcW w:w="2995" w:type="dxa"/>
            <w:shd w:val="clear" w:color="auto" w:fill="FDE9D9" w:themeFill="accent6" w:themeFillTint="33"/>
          </w:tcPr>
          <w:p w14:paraId="2C65D918" w14:textId="77777777" w:rsidR="0014181A" w:rsidRDefault="0014181A" w:rsidP="00EA6942">
            <w:pPr>
              <w:jc w:val="center"/>
            </w:pPr>
            <w:r>
              <w:t>16</w:t>
            </w:r>
          </w:p>
        </w:tc>
        <w:tc>
          <w:tcPr>
            <w:tcW w:w="3015" w:type="dxa"/>
            <w:shd w:val="clear" w:color="auto" w:fill="EAF1DD" w:themeFill="accent3" w:themeFillTint="33"/>
          </w:tcPr>
          <w:p w14:paraId="5A462816" w14:textId="77777777" w:rsidR="0014181A" w:rsidRDefault="0014181A" w:rsidP="00EA6942">
            <w:pPr>
              <w:jc w:val="center"/>
            </w:pPr>
            <w:r>
              <w:t>30</w:t>
            </w:r>
          </w:p>
        </w:tc>
      </w:tr>
      <w:tr w:rsidR="0014181A" w14:paraId="376573B0" w14:textId="77777777" w:rsidTr="0014181A">
        <w:tc>
          <w:tcPr>
            <w:tcW w:w="2477" w:type="dxa"/>
          </w:tcPr>
          <w:p w14:paraId="5D029512" w14:textId="77777777" w:rsidR="0014181A" w:rsidRDefault="0014181A" w:rsidP="00EA6942">
            <w:r>
              <w:t>45-54</w:t>
            </w:r>
          </w:p>
        </w:tc>
        <w:tc>
          <w:tcPr>
            <w:tcW w:w="2995" w:type="dxa"/>
            <w:shd w:val="clear" w:color="auto" w:fill="FDE9D9" w:themeFill="accent6" w:themeFillTint="33"/>
          </w:tcPr>
          <w:p w14:paraId="471DC43B" w14:textId="77777777" w:rsidR="0014181A" w:rsidRDefault="0014181A" w:rsidP="00EA6942">
            <w:pPr>
              <w:jc w:val="center"/>
            </w:pPr>
            <w:r>
              <w:t>7</w:t>
            </w:r>
          </w:p>
        </w:tc>
        <w:tc>
          <w:tcPr>
            <w:tcW w:w="3015" w:type="dxa"/>
            <w:shd w:val="clear" w:color="auto" w:fill="EAF1DD" w:themeFill="accent3" w:themeFillTint="33"/>
          </w:tcPr>
          <w:p w14:paraId="5BFDEC77" w14:textId="77777777" w:rsidR="0014181A" w:rsidRDefault="0014181A" w:rsidP="00EA6942">
            <w:pPr>
              <w:jc w:val="center"/>
            </w:pPr>
            <w:r>
              <w:t>15</w:t>
            </w:r>
          </w:p>
        </w:tc>
      </w:tr>
      <w:tr w:rsidR="0014181A" w14:paraId="3DB5B5E7" w14:textId="77777777" w:rsidTr="0014181A">
        <w:tc>
          <w:tcPr>
            <w:tcW w:w="2477" w:type="dxa"/>
          </w:tcPr>
          <w:p w14:paraId="4A13F457" w14:textId="77777777" w:rsidR="0014181A" w:rsidRDefault="0014181A" w:rsidP="00EA6942">
            <w:r>
              <w:t>55-64</w:t>
            </w:r>
          </w:p>
        </w:tc>
        <w:tc>
          <w:tcPr>
            <w:tcW w:w="2995" w:type="dxa"/>
            <w:shd w:val="clear" w:color="auto" w:fill="FDE9D9" w:themeFill="accent6" w:themeFillTint="33"/>
          </w:tcPr>
          <w:p w14:paraId="7A91796E" w14:textId="77777777" w:rsidR="0014181A" w:rsidRDefault="0014181A" w:rsidP="00EA6942">
            <w:pPr>
              <w:jc w:val="center"/>
            </w:pPr>
            <w:r>
              <w:t>2</w:t>
            </w:r>
          </w:p>
        </w:tc>
        <w:tc>
          <w:tcPr>
            <w:tcW w:w="3015" w:type="dxa"/>
            <w:shd w:val="clear" w:color="auto" w:fill="EAF1DD" w:themeFill="accent3" w:themeFillTint="33"/>
          </w:tcPr>
          <w:p w14:paraId="39EC6A45" w14:textId="77777777" w:rsidR="0014181A" w:rsidRDefault="0014181A" w:rsidP="00EA6942">
            <w:pPr>
              <w:jc w:val="center"/>
            </w:pPr>
            <w:r>
              <w:t>3</w:t>
            </w:r>
          </w:p>
        </w:tc>
      </w:tr>
      <w:tr w:rsidR="0014181A" w14:paraId="36CB3CBC" w14:textId="77777777" w:rsidTr="0014181A">
        <w:tc>
          <w:tcPr>
            <w:tcW w:w="2477" w:type="dxa"/>
          </w:tcPr>
          <w:p w14:paraId="7F103AC7" w14:textId="77777777" w:rsidR="0014181A" w:rsidRDefault="0014181A" w:rsidP="00EA6942">
            <w:r>
              <w:t>65-74</w:t>
            </w:r>
          </w:p>
        </w:tc>
        <w:tc>
          <w:tcPr>
            <w:tcW w:w="2995" w:type="dxa"/>
            <w:shd w:val="clear" w:color="auto" w:fill="FDE9D9" w:themeFill="accent6" w:themeFillTint="33"/>
          </w:tcPr>
          <w:p w14:paraId="2CABD8A8" w14:textId="77777777" w:rsidR="0014181A" w:rsidRDefault="0014181A" w:rsidP="00EA6942">
            <w:pPr>
              <w:jc w:val="center"/>
            </w:pPr>
            <w:r>
              <w:t>3</w:t>
            </w:r>
          </w:p>
        </w:tc>
        <w:tc>
          <w:tcPr>
            <w:tcW w:w="3015" w:type="dxa"/>
            <w:shd w:val="clear" w:color="auto" w:fill="EAF1DD" w:themeFill="accent3" w:themeFillTint="33"/>
          </w:tcPr>
          <w:p w14:paraId="57A38251" w14:textId="77777777" w:rsidR="0014181A" w:rsidRDefault="0014181A" w:rsidP="00EA6942">
            <w:pPr>
              <w:jc w:val="center"/>
            </w:pPr>
            <w:r>
              <w:t>4</w:t>
            </w:r>
          </w:p>
        </w:tc>
      </w:tr>
      <w:tr w:rsidR="0014181A" w14:paraId="6DD63326" w14:textId="77777777" w:rsidTr="0014181A">
        <w:tc>
          <w:tcPr>
            <w:tcW w:w="2477" w:type="dxa"/>
          </w:tcPr>
          <w:p w14:paraId="2DE5D3F0" w14:textId="77777777" w:rsidR="0014181A" w:rsidRDefault="0014181A" w:rsidP="00EA6942">
            <w:r>
              <w:t>75-84</w:t>
            </w:r>
          </w:p>
        </w:tc>
        <w:tc>
          <w:tcPr>
            <w:tcW w:w="2995" w:type="dxa"/>
            <w:shd w:val="clear" w:color="auto" w:fill="FDE9D9" w:themeFill="accent6" w:themeFillTint="33"/>
          </w:tcPr>
          <w:p w14:paraId="65005748" w14:textId="77777777" w:rsidR="0014181A" w:rsidRDefault="0014181A" w:rsidP="00EA6942">
            <w:pPr>
              <w:jc w:val="center"/>
            </w:pPr>
            <w:r>
              <w:t>3</w:t>
            </w:r>
          </w:p>
        </w:tc>
        <w:tc>
          <w:tcPr>
            <w:tcW w:w="3015" w:type="dxa"/>
            <w:shd w:val="clear" w:color="auto" w:fill="EAF1DD" w:themeFill="accent3" w:themeFillTint="33"/>
          </w:tcPr>
          <w:p w14:paraId="59214EBB" w14:textId="77777777" w:rsidR="0014181A" w:rsidRDefault="0014181A" w:rsidP="00EA6942">
            <w:pPr>
              <w:jc w:val="center"/>
            </w:pPr>
            <w:r>
              <w:t>0</w:t>
            </w:r>
          </w:p>
        </w:tc>
      </w:tr>
      <w:tr w:rsidR="0014181A" w14:paraId="2DE1D753" w14:textId="77777777" w:rsidTr="0014181A">
        <w:tc>
          <w:tcPr>
            <w:tcW w:w="2477" w:type="dxa"/>
          </w:tcPr>
          <w:p w14:paraId="4D752321" w14:textId="77777777" w:rsidR="0014181A" w:rsidRDefault="0014181A" w:rsidP="00EA6942">
            <w:r>
              <w:t>Unknown</w:t>
            </w:r>
          </w:p>
        </w:tc>
        <w:tc>
          <w:tcPr>
            <w:tcW w:w="2995" w:type="dxa"/>
            <w:shd w:val="clear" w:color="auto" w:fill="FDE9D9" w:themeFill="accent6" w:themeFillTint="33"/>
          </w:tcPr>
          <w:p w14:paraId="21D1793D" w14:textId="77777777" w:rsidR="0014181A" w:rsidRDefault="0014181A" w:rsidP="00EA6942">
            <w:pPr>
              <w:jc w:val="center"/>
            </w:pPr>
            <w:r>
              <w:t>34</w:t>
            </w:r>
          </w:p>
        </w:tc>
        <w:tc>
          <w:tcPr>
            <w:tcW w:w="3015" w:type="dxa"/>
            <w:shd w:val="clear" w:color="auto" w:fill="EAF1DD" w:themeFill="accent3" w:themeFillTint="33"/>
          </w:tcPr>
          <w:p w14:paraId="7C24E13D" w14:textId="77777777" w:rsidR="0014181A" w:rsidRDefault="0014181A" w:rsidP="00EA6942">
            <w:pPr>
              <w:jc w:val="center"/>
            </w:pPr>
            <w:r>
              <w:t>72</w:t>
            </w:r>
          </w:p>
        </w:tc>
      </w:tr>
    </w:tbl>
    <w:p w14:paraId="66B6BEF3" w14:textId="77777777" w:rsidR="0014181A" w:rsidRDefault="0014181A" w:rsidP="00EF4AF2"/>
    <w:p w14:paraId="215FB054" w14:textId="729BEE24" w:rsidR="00C32089" w:rsidRDefault="00C32089" w:rsidP="004F4D18">
      <w:pPr>
        <w:pStyle w:val="ListParagraph"/>
        <w:numPr>
          <w:ilvl w:val="0"/>
          <w:numId w:val="6"/>
        </w:numPr>
        <w:jc w:val="both"/>
      </w:pPr>
      <w:r>
        <w:t xml:space="preserve">As reports are also for premises or businesses of concern, there will always be some unknown data regarding </w:t>
      </w:r>
      <w:r w:rsidR="000836C2">
        <w:t xml:space="preserve">the </w:t>
      </w:r>
      <w:r>
        <w:t>number and details of potential victims</w:t>
      </w:r>
      <w:r w:rsidR="000836C2">
        <w:t>. Referrals</w:t>
      </w:r>
      <w:r w:rsidR="00AF36C4">
        <w:t xml:space="preserve"> for premises or businesses of concern are</w:t>
      </w:r>
      <w:r>
        <w:t xml:space="preserve"> logged as one referral until more intel</w:t>
      </w:r>
      <w:r w:rsidR="00AF36C4">
        <w:t>ligence</w:t>
      </w:r>
      <w:r>
        <w:t xml:space="preserve"> is gathered.</w:t>
      </w:r>
    </w:p>
    <w:p w14:paraId="0A5DBFA0" w14:textId="7116B301" w:rsidR="0014181A" w:rsidRDefault="0014181A" w:rsidP="009F3364"/>
    <w:p w14:paraId="0AED16EE" w14:textId="7CFC6255" w:rsidR="009F3364" w:rsidRDefault="009F3364" w:rsidP="009F3364">
      <w:pPr>
        <w:rPr>
          <w:b/>
          <w:bCs/>
        </w:rPr>
      </w:pPr>
      <w:r>
        <w:rPr>
          <w:b/>
          <w:bCs/>
        </w:rPr>
        <w:t>Current Threats and Risk</w:t>
      </w:r>
    </w:p>
    <w:p w14:paraId="61B49C7B" w14:textId="4783A53F" w:rsidR="00565956" w:rsidRDefault="00565956" w:rsidP="004F4D18">
      <w:pPr>
        <w:pStyle w:val="ListParagraph"/>
        <w:numPr>
          <w:ilvl w:val="0"/>
          <w:numId w:val="6"/>
        </w:numPr>
        <w:jc w:val="both"/>
      </w:pPr>
      <w:r>
        <w:t>The highest risk across the city and county is exploitation of overseas workers in the care sector</w:t>
      </w:r>
      <w:r w:rsidR="00650E5E">
        <w:t>.</w:t>
      </w:r>
      <w:r>
        <w:t xml:space="preserve"> This is also a national issue with an increase in calls to the Modern Slavery Helpline alone increasing by 630%. Across the county, we have seen an increase of over 400% due to concerns with care providers.  </w:t>
      </w:r>
    </w:p>
    <w:p w14:paraId="29D61DF0" w14:textId="43D46FC8" w:rsidR="000B7254" w:rsidRDefault="000B7254" w:rsidP="004F4D18">
      <w:pPr>
        <w:pStyle w:val="ListParagraph"/>
        <w:numPr>
          <w:ilvl w:val="0"/>
          <w:numId w:val="6"/>
        </w:numPr>
        <w:jc w:val="both"/>
      </w:pPr>
      <w:r>
        <w:lastRenderedPageBreak/>
        <w:t>A lot of work has been carried out in a multi-agency approach to identify and support potential victims and to disrupt those exploiting them. Initially it is a care provider identified as a concern so is recorded as one referral</w:t>
      </w:r>
      <w:r w:rsidR="00266EB5">
        <w:t>,</w:t>
      </w:r>
      <w:r>
        <w:t xml:space="preserve"> however it is estimated that we are realistically looking at over 2,500 potential victims across the county on top of the above figures. In the city we have already identified 630 potential victims who we are working to engage with</w:t>
      </w:r>
      <w:r w:rsidR="00FC0243">
        <w:t>,</w:t>
      </w:r>
      <w:r>
        <w:t xml:space="preserve"> therefore the actual total for the city is 750 and we are currently exploring ways at how best to record this to show accurate data.</w:t>
      </w:r>
    </w:p>
    <w:p w14:paraId="579C0D96" w14:textId="26EFC765" w:rsidR="009F3364" w:rsidRPr="00772D85" w:rsidRDefault="00F14436" w:rsidP="004F4D18">
      <w:pPr>
        <w:pStyle w:val="ListParagraph"/>
        <w:numPr>
          <w:ilvl w:val="0"/>
          <w:numId w:val="6"/>
        </w:numPr>
        <w:jc w:val="both"/>
      </w:pPr>
      <w:r>
        <w:t xml:space="preserve">Also, the city is identifying a trend in ‘landlord exploitation’, including guest houses, where they are specifically targeting vulnerable foreign nationals, charging very high rents, </w:t>
      </w:r>
      <w:proofErr w:type="gramStart"/>
      <w:r>
        <w:t>overcrowding</w:t>
      </w:r>
      <w:proofErr w:type="gramEnd"/>
      <w:r>
        <w:t xml:space="preserve"> and potentially using them to ‘work’ for them. Work has already begun with </w:t>
      </w:r>
      <w:r w:rsidR="005E6372">
        <w:t xml:space="preserve">the </w:t>
      </w:r>
      <w:r>
        <w:t>HMO team to investigate this.</w:t>
      </w:r>
    </w:p>
    <w:p w14:paraId="4E0F5A3E" w14:textId="77777777" w:rsidR="00772D85" w:rsidRDefault="00772D85" w:rsidP="009F3364">
      <w:pPr>
        <w:rPr>
          <w:b/>
          <w:bCs/>
        </w:rPr>
      </w:pPr>
    </w:p>
    <w:p w14:paraId="6B4C1C18" w14:textId="464BDFC2" w:rsidR="009F3364" w:rsidRDefault="009F3364" w:rsidP="009F3364">
      <w:pPr>
        <w:rPr>
          <w:b/>
          <w:bCs/>
        </w:rPr>
      </w:pPr>
      <w:r>
        <w:rPr>
          <w:b/>
          <w:bCs/>
        </w:rPr>
        <w:t xml:space="preserve">Partnership Working and Outcomes </w:t>
      </w:r>
    </w:p>
    <w:p w14:paraId="5A932172" w14:textId="37A474A1" w:rsidR="00F8270E" w:rsidRPr="00F8270E" w:rsidRDefault="00F8270E" w:rsidP="004F4D18">
      <w:pPr>
        <w:pStyle w:val="ListParagraph"/>
        <w:numPr>
          <w:ilvl w:val="0"/>
          <w:numId w:val="6"/>
        </w:numPr>
        <w:jc w:val="both"/>
        <w:rPr>
          <w:rFonts w:cstheme="minorHAnsi"/>
          <w:szCs w:val="22"/>
        </w:rPr>
      </w:pPr>
      <w:r w:rsidRPr="00F8270E">
        <w:rPr>
          <w:rFonts w:cstheme="minorHAnsi"/>
          <w:color w:val="1F2025"/>
          <w:szCs w:val="22"/>
        </w:rPr>
        <w:t xml:space="preserve">Modern slavery is one of the most complex crimes to identify, disrupt and investigate and no </w:t>
      </w:r>
      <w:r w:rsidR="00ED5407">
        <w:rPr>
          <w:rFonts w:cstheme="minorHAnsi"/>
          <w:color w:val="1F2025"/>
          <w:szCs w:val="22"/>
        </w:rPr>
        <w:t>single</w:t>
      </w:r>
      <w:r w:rsidRPr="00F8270E">
        <w:rPr>
          <w:rFonts w:cstheme="minorHAnsi"/>
          <w:color w:val="1F2025"/>
          <w:szCs w:val="22"/>
        </w:rPr>
        <w:t xml:space="preserve"> agency can tackle modern slavery alone. A comprehensive, joined</w:t>
      </w:r>
      <w:r w:rsidR="00ED5407">
        <w:rPr>
          <w:rFonts w:cstheme="minorHAnsi"/>
          <w:color w:val="1F2025"/>
          <w:szCs w:val="22"/>
        </w:rPr>
        <w:t>-</w:t>
      </w:r>
      <w:r w:rsidRPr="00F8270E">
        <w:rPr>
          <w:rFonts w:cstheme="minorHAnsi"/>
          <w:color w:val="1F2025"/>
          <w:szCs w:val="22"/>
        </w:rPr>
        <w:t xml:space="preserve">up, effective multi-agency approach is required, </w:t>
      </w:r>
      <w:r w:rsidRPr="00F8270E">
        <w:rPr>
          <w:rFonts w:cstheme="minorHAnsi"/>
          <w:szCs w:val="22"/>
        </w:rPr>
        <w:t>and our central aim is to use all the means at our joint disposal to disrupt the activity of perpetrators making Oxfordshire a hostile place from which to perpetrate the exploitation of people. To ensure this work is effective, a 4Ps strategy in our approach to tackling modern slavery and exploitation has been implemented, delivered through our multi-agency structure and pathway:</w:t>
      </w:r>
    </w:p>
    <w:p w14:paraId="63FB78B6" w14:textId="691F214E" w:rsidR="00CC4839" w:rsidRDefault="00CC4839" w:rsidP="004F4D18">
      <w:pPr>
        <w:pStyle w:val="ListParagraph"/>
        <w:numPr>
          <w:ilvl w:val="0"/>
          <w:numId w:val="8"/>
        </w:numPr>
        <w:tabs>
          <w:tab w:val="clear" w:pos="426"/>
        </w:tabs>
        <w:spacing w:after="0"/>
        <w:contextualSpacing/>
        <w:jc w:val="both"/>
        <w:rPr>
          <w:rFonts w:cstheme="minorHAnsi"/>
          <w:szCs w:val="22"/>
        </w:rPr>
      </w:pPr>
      <w:r w:rsidRPr="00973D2F">
        <w:rPr>
          <w:rFonts w:cstheme="minorHAnsi"/>
          <w:b/>
          <w:bCs/>
          <w:szCs w:val="22"/>
        </w:rPr>
        <w:t>Pursue</w:t>
      </w:r>
      <w:r>
        <w:rPr>
          <w:rFonts w:cstheme="minorHAnsi"/>
          <w:szCs w:val="22"/>
        </w:rPr>
        <w:t xml:space="preserve"> - </w:t>
      </w:r>
      <w:r w:rsidR="00973D2F">
        <w:rPr>
          <w:rFonts w:cstheme="minorHAnsi"/>
          <w:szCs w:val="22"/>
        </w:rPr>
        <w:t>p</w:t>
      </w:r>
      <w:r w:rsidRPr="008E2A09">
        <w:rPr>
          <w:rFonts w:cstheme="minorHAnsi"/>
          <w:szCs w:val="22"/>
        </w:rPr>
        <w:t>rosecute and disrupt individuals and groups responsible for modern slavery and the exploitation</w:t>
      </w:r>
      <w:r>
        <w:rPr>
          <w:rFonts w:cstheme="minorHAnsi"/>
          <w:szCs w:val="22"/>
        </w:rPr>
        <w:t xml:space="preserve"> of people.</w:t>
      </w:r>
    </w:p>
    <w:p w14:paraId="22D5E1E8" w14:textId="3D1F05D0" w:rsidR="007F2CF5" w:rsidRDefault="007F2CF5" w:rsidP="004F4D18">
      <w:pPr>
        <w:pStyle w:val="ListParagraph"/>
        <w:numPr>
          <w:ilvl w:val="0"/>
          <w:numId w:val="8"/>
        </w:numPr>
        <w:tabs>
          <w:tab w:val="clear" w:pos="426"/>
        </w:tabs>
        <w:spacing w:after="0"/>
        <w:contextualSpacing/>
        <w:jc w:val="both"/>
      </w:pPr>
      <w:r w:rsidRPr="00973D2F">
        <w:rPr>
          <w:rFonts w:cstheme="minorHAnsi"/>
          <w:b/>
          <w:bCs/>
          <w:szCs w:val="22"/>
        </w:rPr>
        <w:t>Prevent</w:t>
      </w:r>
      <w:r w:rsidRPr="008E2A09">
        <w:rPr>
          <w:rFonts w:cstheme="minorHAnsi"/>
          <w:szCs w:val="22"/>
        </w:rPr>
        <w:t xml:space="preserve"> - </w:t>
      </w:r>
      <w:r w:rsidR="00973D2F">
        <w:t>p</w:t>
      </w:r>
      <w:r w:rsidRPr="008E2A09">
        <w:t>revent people from engaging in modern slavery and the exploitation of people.</w:t>
      </w:r>
    </w:p>
    <w:p w14:paraId="6E1638E8" w14:textId="1E4668BC" w:rsidR="00F567E0" w:rsidRDefault="00F567E0" w:rsidP="004F4D18">
      <w:pPr>
        <w:pStyle w:val="ListParagraph"/>
        <w:numPr>
          <w:ilvl w:val="0"/>
          <w:numId w:val="8"/>
        </w:numPr>
        <w:tabs>
          <w:tab w:val="clear" w:pos="426"/>
        </w:tabs>
        <w:spacing w:after="0"/>
        <w:contextualSpacing/>
        <w:jc w:val="both"/>
      </w:pPr>
      <w:r w:rsidRPr="00973D2F">
        <w:rPr>
          <w:b/>
          <w:bCs/>
        </w:rPr>
        <w:t>Protect</w:t>
      </w:r>
      <w:r>
        <w:t xml:space="preserve"> - </w:t>
      </w:r>
      <w:r w:rsidR="00973D2F">
        <w:t>s</w:t>
      </w:r>
      <w:r w:rsidRPr="008E2A09">
        <w:t>trengthen safeguards against modern slavery by protecting vulnerable people from being exploited.</w:t>
      </w:r>
    </w:p>
    <w:p w14:paraId="78FE944C" w14:textId="4DDA9C9C" w:rsidR="009B0CF0" w:rsidRDefault="009B0CF0" w:rsidP="004F4D18">
      <w:pPr>
        <w:pStyle w:val="ListParagraph"/>
        <w:numPr>
          <w:ilvl w:val="0"/>
          <w:numId w:val="8"/>
        </w:numPr>
        <w:tabs>
          <w:tab w:val="clear" w:pos="426"/>
        </w:tabs>
        <w:spacing w:after="0"/>
        <w:contextualSpacing/>
        <w:jc w:val="both"/>
      </w:pPr>
      <w:r w:rsidRPr="00E14DD8">
        <w:rPr>
          <w:b/>
          <w:bCs/>
        </w:rPr>
        <w:t>Prepare</w:t>
      </w:r>
      <w:r>
        <w:t xml:space="preserve"> - </w:t>
      </w:r>
      <w:r w:rsidR="00E14DD8">
        <w:t>r</w:t>
      </w:r>
      <w:r w:rsidRPr="008E2A09">
        <w:t>educe the harm caused by modern slavery through improved victim identification and enhanced support.</w:t>
      </w:r>
    </w:p>
    <w:p w14:paraId="4B4B48AC" w14:textId="65EC4899" w:rsidR="009F3364" w:rsidRDefault="009F3364" w:rsidP="009B0CF0"/>
    <w:p w14:paraId="56E27CCD" w14:textId="1192652D" w:rsidR="00563DB0" w:rsidRDefault="00563DB0" w:rsidP="004F4D18">
      <w:pPr>
        <w:pStyle w:val="ListParagraph"/>
        <w:numPr>
          <w:ilvl w:val="0"/>
          <w:numId w:val="6"/>
        </w:numPr>
        <w:jc w:val="both"/>
      </w:pPr>
      <w:r>
        <w:t>Over the reporting period, we have worked with over 50 partners in the city</w:t>
      </w:r>
      <w:r w:rsidR="00E14DD8">
        <w:t>,</w:t>
      </w:r>
      <w:r>
        <w:t xml:space="preserve"> which includes 80 multi-agency meetings and 38 multi-agency joint visits/operations. We have engaged with 76 victims identified living in the city and </w:t>
      </w:r>
      <w:r w:rsidR="00FF0DD3">
        <w:t xml:space="preserve">have </w:t>
      </w:r>
      <w:r>
        <w:t>supported 43 of those out of the grips of exploitation and continue to work with 33 others.</w:t>
      </w:r>
    </w:p>
    <w:p w14:paraId="5EC9F716" w14:textId="32D2F20A" w:rsidR="009B0CF0" w:rsidRDefault="00D03DD2" w:rsidP="004F4D18">
      <w:pPr>
        <w:pStyle w:val="ListParagraph"/>
        <w:numPr>
          <w:ilvl w:val="0"/>
          <w:numId w:val="6"/>
        </w:numPr>
      </w:pPr>
      <w:r>
        <w:t>Examples of positive outcomes:</w:t>
      </w:r>
    </w:p>
    <w:p w14:paraId="5F0C5624" w14:textId="3F07F83C" w:rsidR="00F05A13" w:rsidRDefault="00F05A13" w:rsidP="004F4D18">
      <w:pPr>
        <w:pStyle w:val="ListParagraph"/>
        <w:numPr>
          <w:ilvl w:val="0"/>
          <w:numId w:val="9"/>
        </w:numPr>
        <w:tabs>
          <w:tab w:val="clear" w:pos="426"/>
        </w:tabs>
        <w:spacing w:after="0"/>
        <w:contextualSpacing/>
        <w:jc w:val="both"/>
      </w:pPr>
      <w:r>
        <w:t xml:space="preserve">A brothel was closed which was being run out of a guesthouse with a Closure </w:t>
      </w:r>
      <w:r w:rsidR="00301FD5">
        <w:t>O</w:t>
      </w:r>
      <w:r>
        <w:t>rder on the property. There were also issues identified of financial exploitation by the landlady to long staying guests which was investigated and reported</w:t>
      </w:r>
      <w:r w:rsidR="00413662">
        <w:t>.</w:t>
      </w:r>
      <w:r>
        <w:t xml:space="preserve"> </w:t>
      </w:r>
      <w:r w:rsidR="00413662">
        <w:t>P</w:t>
      </w:r>
      <w:r>
        <w:t xml:space="preserve">lanning enforcement action </w:t>
      </w:r>
      <w:r w:rsidR="00413662">
        <w:t xml:space="preserve">was </w:t>
      </w:r>
      <w:r>
        <w:t xml:space="preserve">taken for use of an outbuilding and </w:t>
      </w:r>
      <w:r w:rsidR="00413662">
        <w:t xml:space="preserve">a </w:t>
      </w:r>
      <w:r>
        <w:t>penalty issued for waste issues</w:t>
      </w:r>
      <w:r w:rsidR="00A3729C">
        <w:t>. There is an</w:t>
      </w:r>
      <w:r>
        <w:t xml:space="preserve"> ongoing investigation into </w:t>
      </w:r>
      <w:r w:rsidR="00A3729C">
        <w:t xml:space="preserve">a </w:t>
      </w:r>
      <w:r>
        <w:t>potential unlicensed HMO.</w:t>
      </w:r>
    </w:p>
    <w:p w14:paraId="45A683B5" w14:textId="77777777" w:rsidR="00FF0DD3" w:rsidRDefault="00FF0DD3" w:rsidP="00FF0DD3">
      <w:pPr>
        <w:pStyle w:val="ListParagraph"/>
        <w:numPr>
          <w:ilvl w:val="0"/>
          <w:numId w:val="0"/>
        </w:numPr>
        <w:tabs>
          <w:tab w:val="clear" w:pos="426"/>
        </w:tabs>
        <w:spacing w:after="0"/>
        <w:ind w:left="720"/>
        <w:contextualSpacing/>
      </w:pPr>
    </w:p>
    <w:p w14:paraId="6A0862B6" w14:textId="443FF087" w:rsidR="00A67B4C" w:rsidRDefault="00A67B4C" w:rsidP="00690F93">
      <w:pPr>
        <w:pStyle w:val="ListParagraph"/>
        <w:numPr>
          <w:ilvl w:val="0"/>
          <w:numId w:val="9"/>
        </w:numPr>
        <w:tabs>
          <w:tab w:val="clear" w:pos="426"/>
        </w:tabs>
        <w:spacing w:before="240" w:after="0"/>
        <w:contextualSpacing/>
        <w:jc w:val="both"/>
      </w:pPr>
      <w:r>
        <w:t xml:space="preserve">A brothel in a residential letting was issued with a Closure </w:t>
      </w:r>
      <w:r w:rsidR="00A3729C">
        <w:t>O</w:t>
      </w:r>
      <w:r>
        <w:t xml:space="preserve">rder. Notices </w:t>
      </w:r>
      <w:r w:rsidR="00C3739B">
        <w:t xml:space="preserve">were </w:t>
      </w:r>
      <w:r>
        <w:t xml:space="preserve">issued around rubbish and waste, proceedings started for </w:t>
      </w:r>
      <w:r w:rsidR="00C3739B">
        <w:t xml:space="preserve">an </w:t>
      </w:r>
      <w:r>
        <w:t xml:space="preserve">illegal HMO and potential action around </w:t>
      </w:r>
      <w:r w:rsidR="002D077F">
        <w:t xml:space="preserve">the </w:t>
      </w:r>
      <w:r>
        <w:t xml:space="preserve">landlady of </w:t>
      </w:r>
      <w:r w:rsidR="002D077F">
        <w:t xml:space="preserve">the </w:t>
      </w:r>
      <w:r>
        <w:t>property who was in bankruptcy but taking rental income.</w:t>
      </w:r>
    </w:p>
    <w:p w14:paraId="371E9FD7" w14:textId="77777777" w:rsidR="002D077F" w:rsidRDefault="002D077F" w:rsidP="002D077F">
      <w:pPr>
        <w:pStyle w:val="ListParagraph"/>
        <w:numPr>
          <w:ilvl w:val="0"/>
          <w:numId w:val="0"/>
        </w:numPr>
        <w:ind w:left="426"/>
      </w:pPr>
    </w:p>
    <w:p w14:paraId="63DAC859" w14:textId="5BABE2C9" w:rsidR="00C97B7E" w:rsidRDefault="00C97B7E" w:rsidP="004F4D18">
      <w:pPr>
        <w:pStyle w:val="ListParagraph"/>
        <w:numPr>
          <w:ilvl w:val="0"/>
          <w:numId w:val="9"/>
        </w:numPr>
        <w:tabs>
          <w:tab w:val="clear" w:pos="426"/>
        </w:tabs>
        <w:spacing w:after="0"/>
        <w:contextualSpacing/>
        <w:jc w:val="both"/>
      </w:pPr>
      <w:r>
        <w:t xml:space="preserve">We secured immediate safe house accommodation and support through the NRM for a man who was being threatened by a drugs gang and was in fear </w:t>
      </w:r>
      <w:r w:rsidR="00973AA5">
        <w:t>for</w:t>
      </w:r>
      <w:r>
        <w:t xml:space="preserve"> his life. He was a British national and it is very rare they are housed through NRM due to the view that they have other options through local authorities, so this was a very positive result.</w:t>
      </w:r>
    </w:p>
    <w:p w14:paraId="57E9D948" w14:textId="77777777" w:rsidR="00973AA5" w:rsidRDefault="00973AA5" w:rsidP="00973AA5">
      <w:pPr>
        <w:pStyle w:val="ListParagraph"/>
        <w:numPr>
          <w:ilvl w:val="0"/>
          <w:numId w:val="0"/>
        </w:numPr>
        <w:ind w:left="426"/>
      </w:pPr>
    </w:p>
    <w:p w14:paraId="27A6C3B5" w14:textId="4B26A42C" w:rsidR="00D03DD2" w:rsidRPr="00355BB8" w:rsidRDefault="00ED45ED" w:rsidP="004F4D18">
      <w:pPr>
        <w:pStyle w:val="ListParagraph"/>
        <w:numPr>
          <w:ilvl w:val="0"/>
          <w:numId w:val="9"/>
        </w:numPr>
        <w:jc w:val="both"/>
        <w:rPr>
          <w:rStyle w:val="Hyperlink"/>
          <w:color w:val="000000"/>
          <w:u w:val="none"/>
        </w:rPr>
      </w:pPr>
      <w:r>
        <w:t xml:space="preserve">We supported several victims of a sexual exploitation ‘cult’ who were recruited and trafficked abroad. The support helped them to report and work with law enforcement both here and abroad as this was a national case. As a result, the main exploiter was arrested after many years of being hidden.  </w:t>
      </w:r>
      <w:hyperlink r:id="rId11" w:history="1">
        <w:r w:rsidR="00355BB8" w:rsidRPr="00237E2E">
          <w:rPr>
            <w:rStyle w:val="Hyperlink"/>
          </w:rPr>
          <w:t>https://www.theguardian.com/world/2023/nov/28/tantric-yoga-guru-gregorian-bivolaru-charged-with-human-trafficking</w:t>
        </w:r>
      </w:hyperlink>
    </w:p>
    <w:p w14:paraId="3B46AD3F" w14:textId="77777777" w:rsidR="00355BB8" w:rsidRDefault="00355BB8" w:rsidP="00355BB8"/>
    <w:p w14:paraId="6A2B0A9D" w14:textId="562F990A" w:rsidR="004C3B5A" w:rsidRDefault="004C3B5A" w:rsidP="004F4D18">
      <w:pPr>
        <w:pStyle w:val="ListParagraph"/>
        <w:numPr>
          <w:ilvl w:val="0"/>
          <w:numId w:val="6"/>
        </w:numPr>
        <w:tabs>
          <w:tab w:val="clear" w:pos="426"/>
        </w:tabs>
        <w:spacing w:after="0"/>
        <w:contextualSpacing/>
        <w:jc w:val="both"/>
      </w:pPr>
      <w:r>
        <w:t xml:space="preserve">Several cases have involved residents who have been affected and the new structure has enabled cooperation and support for them, given them confidence to report and communicate with us and shown that as agencies we do take the issue seriously. Feedback </w:t>
      </w:r>
      <w:r w:rsidR="005E53B1">
        <w:t>from</w:t>
      </w:r>
      <w:r>
        <w:t xml:space="preserve"> some residents:</w:t>
      </w:r>
    </w:p>
    <w:p w14:paraId="5288DD82" w14:textId="38D8C030" w:rsidR="00355BB8" w:rsidRDefault="00355BB8" w:rsidP="004C3B5A">
      <w:pPr>
        <w:pStyle w:val="ListParagraph"/>
        <w:numPr>
          <w:ilvl w:val="0"/>
          <w:numId w:val="0"/>
        </w:numPr>
        <w:ind w:left="360"/>
      </w:pPr>
    </w:p>
    <w:p w14:paraId="17635E7A" w14:textId="77777777" w:rsidR="00054E61" w:rsidRPr="002D43E4" w:rsidRDefault="00054E61" w:rsidP="005E53B1">
      <w:pPr>
        <w:pStyle w:val="ListParagraph"/>
        <w:numPr>
          <w:ilvl w:val="0"/>
          <w:numId w:val="0"/>
        </w:numPr>
        <w:ind w:left="360"/>
        <w:jc w:val="both"/>
        <w:rPr>
          <w:i/>
          <w:iCs/>
          <w:color w:val="auto"/>
        </w:rPr>
      </w:pPr>
      <w:r w:rsidRPr="002D43E4">
        <w:rPr>
          <w:i/>
          <w:iCs/>
          <w:color w:val="auto"/>
        </w:rPr>
        <w:t>“The last 2 months have been very difficult, and I hope the notice will help put an end to the issue. I am very pleased with the outcome. We appreciate your time, hard work and most importantly your patience in dealing with us. You showed great understanding and empathy when working with us. We are very grateful for your &amp; the teams support in dealing with the matter.”</w:t>
      </w:r>
    </w:p>
    <w:p w14:paraId="2F8DCE81" w14:textId="77777777" w:rsidR="00F8270E" w:rsidRDefault="00F8270E" w:rsidP="009F3364">
      <w:pPr>
        <w:rPr>
          <w:b/>
          <w:bCs/>
        </w:rPr>
      </w:pPr>
    </w:p>
    <w:p w14:paraId="1D7B5175" w14:textId="69662917" w:rsidR="009F3364" w:rsidRDefault="009F3364" w:rsidP="009F3364">
      <w:pPr>
        <w:rPr>
          <w:b/>
          <w:bCs/>
        </w:rPr>
      </w:pPr>
      <w:r>
        <w:rPr>
          <w:b/>
          <w:bCs/>
        </w:rPr>
        <w:t>Events and Community Engagement</w:t>
      </w:r>
    </w:p>
    <w:p w14:paraId="075C8519" w14:textId="1AF3B29A" w:rsidR="00CB31E1" w:rsidRDefault="00CB31E1" w:rsidP="004F4D18">
      <w:pPr>
        <w:pStyle w:val="ListParagraph"/>
        <w:numPr>
          <w:ilvl w:val="0"/>
          <w:numId w:val="6"/>
        </w:numPr>
        <w:tabs>
          <w:tab w:val="clear" w:pos="426"/>
        </w:tabs>
        <w:contextualSpacing/>
        <w:jc w:val="both"/>
      </w:pPr>
      <w:r>
        <w:t xml:space="preserve">The city has organised and hosted events in the Town Hall for Anti-Slavery Day both in 2022 and 2023. Both have been well attended and the feedback has been positive. The event last year was particularly momentous as the theme was Lived Experience and we had five survivors of modern slavery speak about their experience and our guest speakers were HRH Princess Eugenie and Julia De </w:t>
      </w:r>
      <w:proofErr w:type="spellStart"/>
      <w:r>
        <w:t>Boinville</w:t>
      </w:r>
      <w:proofErr w:type="spellEnd"/>
      <w:r>
        <w:t xml:space="preserve"> of the Anti-Slavery Collective.</w:t>
      </w:r>
    </w:p>
    <w:p w14:paraId="7B5603E1" w14:textId="77777777" w:rsidR="005E53B1" w:rsidRDefault="005E53B1" w:rsidP="005E53B1">
      <w:pPr>
        <w:pStyle w:val="ListParagraph"/>
        <w:numPr>
          <w:ilvl w:val="0"/>
          <w:numId w:val="0"/>
        </w:numPr>
        <w:tabs>
          <w:tab w:val="clear" w:pos="426"/>
        </w:tabs>
        <w:ind w:left="360"/>
        <w:contextualSpacing/>
      </w:pPr>
    </w:p>
    <w:p w14:paraId="65CD47F8" w14:textId="36B5C431" w:rsidR="00C77FD6" w:rsidRDefault="00C77FD6" w:rsidP="004F4D18">
      <w:pPr>
        <w:pStyle w:val="ListParagraph"/>
        <w:numPr>
          <w:ilvl w:val="0"/>
          <w:numId w:val="6"/>
        </w:numPr>
        <w:tabs>
          <w:tab w:val="clear" w:pos="426"/>
        </w:tabs>
        <w:spacing w:before="240" w:after="0"/>
        <w:contextualSpacing/>
        <w:jc w:val="both"/>
      </w:pPr>
      <w:r>
        <w:t xml:space="preserve">Community engagement is driven by the data we </w:t>
      </w:r>
      <w:proofErr w:type="gramStart"/>
      <w:r>
        <w:t>collect</w:t>
      </w:r>
      <w:proofErr w:type="gramEnd"/>
      <w:r w:rsidR="00CE7F2B">
        <w:t xml:space="preserve"> </w:t>
      </w:r>
      <w:r>
        <w:t xml:space="preserve">and the threat, risk and harm so </w:t>
      </w:r>
      <w:r w:rsidR="003E567D">
        <w:t>are</w:t>
      </w:r>
      <w:r>
        <w:t xml:space="preserve"> often more reactive. As a result, we developed </w:t>
      </w:r>
      <w:r w:rsidRPr="002B4DD0">
        <w:t>and promot</w:t>
      </w:r>
      <w:r>
        <w:t xml:space="preserve">ed </w:t>
      </w:r>
      <w:r w:rsidRPr="002B4DD0">
        <w:t xml:space="preserve">‘weeks of action’ which </w:t>
      </w:r>
      <w:r>
        <w:t xml:space="preserve">occur each quarter focussing on awareness raising, both </w:t>
      </w:r>
      <w:r w:rsidR="00C37666">
        <w:t xml:space="preserve">for the </w:t>
      </w:r>
      <w:r>
        <w:t xml:space="preserve">public and those most vulnerable. These have included visiting </w:t>
      </w:r>
      <w:r w:rsidR="00C37666">
        <w:t>Department of Work and Pensions (DWP)</w:t>
      </w:r>
      <w:r>
        <w:t xml:space="preserve"> sites and developing and running a webinar for the care sector and visiting care workers.</w:t>
      </w:r>
    </w:p>
    <w:p w14:paraId="7BD99EE7" w14:textId="77777777" w:rsidR="005E53B1" w:rsidRDefault="005E53B1" w:rsidP="005E53B1">
      <w:pPr>
        <w:pStyle w:val="ListParagraph"/>
        <w:numPr>
          <w:ilvl w:val="0"/>
          <w:numId w:val="0"/>
        </w:numPr>
        <w:ind w:left="426"/>
      </w:pPr>
    </w:p>
    <w:p w14:paraId="44FAF271" w14:textId="320F1576" w:rsidR="005446D6" w:rsidRDefault="005446D6" w:rsidP="004F4D18">
      <w:pPr>
        <w:pStyle w:val="ListParagraph"/>
        <w:numPr>
          <w:ilvl w:val="0"/>
          <w:numId w:val="6"/>
        </w:numPr>
        <w:tabs>
          <w:tab w:val="clear" w:pos="426"/>
        </w:tabs>
        <w:spacing w:after="0"/>
        <w:contextualSpacing/>
        <w:jc w:val="both"/>
      </w:pPr>
      <w:r>
        <w:t xml:space="preserve">We work with survivors within our communities who have benefited from our structure and support to monitor how our approach has helped them and consult with them on everything we plan around exploitation and modern slavery </w:t>
      </w:r>
      <w:r w:rsidR="00653624">
        <w:t>(</w:t>
      </w:r>
      <w:proofErr w:type="gramStart"/>
      <w:r>
        <w:t>e.g.</w:t>
      </w:r>
      <w:proofErr w:type="gramEnd"/>
      <w:r>
        <w:t xml:space="preserve"> development of new resources, community engagement etc</w:t>
      </w:r>
      <w:r w:rsidR="00653624">
        <w:t>)</w:t>
      </w:r>
      <w:r>
        <w:t>.</w:t>
      </w:r>
    </w:p>
    <w:p w14:paraId="5427FACD" w14:textId="77777777" w:rsidR="005E53B1" w:rsidRDefault="005E53B1" w:rsidP="005E53B1">
      <w:pPr>
        <w:pStyle w:val="ListParagraph"/>
        <w:numPr>
          <w:ilvl w:val="0"/>
          <w:numId w:val="0"/>
        </w:numPr>
        <w:ind w:left="426"/>
      </w:pPr>
    </w:p>
    <w:p w14:paraId="2058961D" w14:textId="5C76D304" w:rsidR="009F3364" w:rsidRPr="00580223" w:rsidRDefault="00021B39" w:rsidP="004F4D18">
      <w:pPr>
        <w:pStyle w:val="ListParagraph"/>
        <w:numPr>
          <w:ilvl w:val="0"/>
          <w:numId w:val="6"/>
        </w:numPr>
        <w:tabs>
          <w:tab w:val="clear" w:pos="426"/>
        </w:tabs>
        <w:spacing w:after="0"/>
        <w:contextualSpacing/>
        <w:jc w:val="both"/>
      </w:pPr>
      <w:r>
        <w:t>Work with</w:t>
      </w:r>
      <w:r w:rsidR="00653624">
        <w:t xml:space="preserve"> the</w:t>
      </w:r>
      <w:r>
        <w:t xml:space="preserve"> local </w:t>
      </w:r>
      <w:r w:rsidR="003F1AF5">
        <w:t>P</w:t>
      </w:r>
      <w:r>
        <w:t>olice team on community engagement they are carrying out that aligns with our work.</w:t>
      </w:r>
    </w:p>
    <w:p w14:paraId="30A28C1F" w14:textId="56F94557" w:rsidR="009F3364" w:rsidRPr="009F3364" w:rsidRDefault="009F3364" w:rsidP="009F3364">
      <w:pPr>
        <w:rPr>
          <w:b/>
          <w:bCs/>
        </w:rPr>
      </w:pPr>
      <w:r>
        <w:rPr>
          <w:b/>
          <w:bCs/>
        </w:rPr>
        <w:lastRenderedPageBreak/>
        <w:t>Achievements</w:t>
      </w:r>
    </w:p>
    <w:p w14:paraId="4FB66418" w14:textId="0735E8D1" w:rsidR="005E3A1B" w:rsidRDefault="005E3A1B" w:rsidP="004F4D18">
      <w:pPr>
        <w:pStyle w:val="ListParagraph"/>
        <w:numPr>
          <w:ilvl w:val="0"/>
          <w:numId w:val="6"/>
        </w:numPr>
        <w:tabs>
          <w:tab w:val="clear" w:pos="426"/>
        </w:tabs>
        <w:spacing w:after="80" w:line="276" w:lineRule="auto"/>
        <w:contextualSpacing/>
        <w:jc w:val="both"/>
        <w:rPr>
          <w:rFonts w:cstheme="minorHAnsi"/>
          <w:bCs/>
        </w:rPr>
      </w:pPr>
      <w:r w:rsidRPr="00030B6E">
        <w:t xml:space="preserve">The pathway and multi-agency protocol structure </w:t>
      </w:r>
      <w:r>
        <w:t xml:space="preserve">is </w:t>
      </w:r>
      <w:r w:rsidRPr="00030B6E">
        <w:t>working well</w:t>
      </w:r>
      <w:r>
        <w:t xml:space="preserve">. Agencies value this approach </w:t>
      </w:r>
      <w:r w:rsidRPr="00385D9B">
        <w:rPr>
          <w:rFonts w:cstheme="minorHAnsi"/>
          <w:bCs/>
        </w:rPr>
        <w:t>with following feedback received:</w:t>
      </w:r>
    </w:p>
    <w:p w14:paraId="11BDCB38" w14:textId="77777777" w:rsidR="003F1AF5" w:rsidRPr="00385D9B" w:rsidRDefault="003F1AF5" w:rsidP="003F1AF5">
      <w:pPr>
        <w:pStyle w:val="ListParagraph"/>
        <w:numPr>
          <w:ilvl w:val="0"/>
          <w:numId w:val="0"/>
        </w:numPr>
        <w:tabs>
          <w:tab w:val="clear" w:pos="426"/>
        </w:tabs>
        <w:spacing w:after="80" w:line="276" w:lineRule="auto"/>
        <w:ind w:left="360"/>
        <w:contextualSpacing/>
        <w:jc w:val="both"/>
        <w:rPr>
          <w:rFonts w:cstheme="minorHAnsi"/>
          <w:bCs/>
        </w:rPr>
      </w:pPr>
    </w:p>
    <w:p w14:paraId="2BF333F1" w14:textId="77777777" w:rsidR="00F4490B" w:rsidRPr="00F963C3" w:rsidRDefault="00F4490B" w:rsidP="004F4D18">
      <w:pPr>
        <w:pStyle w:val="ListParagraph"/>
        <w:numPr>
          <w:ilvl w:val="0"/>
          <w:numId w:val="10"/>
        </w:numPr>
        <w:tabs>
          <w:tab w:val="clear" w:pos="426"/>
        </w:tabs>
        <w:spacing w:after="80" w:line="276" w:lineRule="auto"/>
        <w:contextualSpacing/>
        <w:rPr>
          <w:rFonts w:cstheme="minorHAnsi"/>
          <w:bCs/>
          <w:i/>
          <w:color w:val="auto"/>
        </w:rPr>
      </w:pPr>
      <w:r w:rsidRPr="00F963C3">
        <w:rPr>
          <w:rFonts w:cstheme="minorHAnsi"/>
          <w:bCs/>
          <w:i/>
          <w:color w:val="auto"/>
        </w:rPr>
        <w:t>“Allows us to share intelligence and be preventative in our own work”.</w:t>
      </w:r>
    </w:p>
    <w:p w14:paraId="2414B8DE" w14:textId="77777777" w:rsidR="003F1AF5" w:rsidRPr="00F963C3" w:rsidRDefault="003F1AF5" w:rsidP="003F1AF5">
      <w:pPr>
        <w:pStyle w:val="ListParagraph"/>
        <w:numPr>
          <w:ilvl w:val="0"/>
          <w:numId w:val="0"/>
        </w:numPr>
        <w:tabs>
          <w:tab w:val="clear" w:pos="426"/>
        </w:tabs>
        <w:spacing w:after="80" w:line="276" w:lineRule="auto"/>
        <w:ind w:left="1080"/>
        <w:contextualSpacing/>
        <w:rPr>
          <w:rFonts w:cstheme="minorHAnsi"/>
          <w:bCs/>
          <w:i/>
          <w:color w:val="auto"/>
        </w:rPr>
      </w:pPr>
    </w:p>
    <w:p w14:paraId="0642E759" w14:textId="77777777" w:rsidR="004A67C0" w:rsidRPr="00F963C3" w:rsidRDefault="004A67C0" w:rsidP="004F4D18">
      <w:pPr>
        <w:pStyle w:val="ListParagraph"/>
        <w:numPr>
          <w:ilvl w:val="0"/>
          <w:numId w:val="10"/>
        </w:numPr>
        <w:tabs>
          <w:tab w:val="clear" w:pos="426"/>
        </w:tabs>
        <w:spacing w:after="80" w:line="276" w:lineRule="auto"/>
        <w:contextualSpacing/>
        <w:rPr>
          <w:rFonts w:cstheme="minorHAnsi"/>
          <w:bCs/>
          <w:i/>
          <w:color w:val="auto"/>
        </w:rPr>
      </w:pPr>
      <w:r w:rsidRPr="00F963C3">
        <w:rPr>
          <w:rFonts w:cstheme="minorHAnsi"/>
          <w:bCs/>
          <w:i/>
          <w:color w:val="auto"/>
        </w:rPr>
        <w:t>“Aids other organisations to potentially learn new information which can then be used to carry out more disruption activities”.</w:t>
      </w:r>
    </w:p>
    <w:p w14:paraId="390B941A" w14:textId="77777777" w:rsidR="001E1CC8" w:rsidRPr="00F963C3" w:rsidRDefault="001E1CC8" w:rsidP="001E1CC8">
      <w:pPr>
        <w:pStyle w:val="ListParagraph"/>
        <w:numPr>
          <w:ilvl w:val="0"/>
          <w:numId w:val="0"/>
        </w:numPr>
        <w:ind w:left="426"/>
        <w:rPr>
          <w:rFonts w:cstheme="minorHAnsi"/>
          <w:bCs/>
          <w:i/>
          <w:color w:val="auto"/>
        </w:rPr>
      </w:pPr>
    </w:p>
    <w:p w14:paraId="4B898943" w14:textId="77777777" w:rsidR="00E06D54" w:rsidRPr="00F963C3" w:rsidRDefault="00E06D54" w:rsidP="004F4D18">
      <w:pPr>
        <w:pStyle w:val="ListParagraph"/>
        <w:numPr>
          <w:ilvl w:val="0"/>
          <w:numId w:val="10"/>
        </w:numPr>
        <w:tabs>
          <w:tab w:val="clear" w:pos="426"/>
        </w:tabs>
        <w:spacing w:after="80" w:line="276" w:lineRule="auto"/>
        <w:contextualSpacing/>
        <w:rPr>
          <w:rFonts w:cstheme="minorHAnsi"/>
          <w:bCs/>
          <w:i/>
          <w:color w:val="auto"/>
        </w:rPr>
      </w:pPr>
      <w:r w:rsidRPr="00F963C3">
        <w:rPr>
          <w:rFonts w:cstheme="minorHAnsi"/>
          <w:bCs/>
          <w:i/>
          <w:color w:val="auto"/>
        </w:rPr>
        <w:t>“It is enabling us to safeguard individuals as well as consider geographic locations or thematic areas where there may be a deeper problem that needs to be looked in to”.</w:t>
      </w:r>
    </w:p>
    <w:p w14:paraId="2590C61C" w14:textId="77777777" w:rsidR="001E1CC8" w:rsidRPr="00F963C3" w:rsidRDefault="001E1CC8" w:rsidP="001E1CC8">
      <w:pPr>
        <w:pStyle w:val="ListParagraph"/>
        <w:numPr>
          <w:ilvl w:val="0"/>
          <w:numId w:val="0"/>
        </w:numPr>
        <w:ind w:left="426"/>
        <w:rPr>
          <w:rFonts w:cstheme="minorHAnsi"/>
          <w:bCs/>
          <w:i/>
          <w:color w:val="auto"/>
        </w:rPr>
      </w:pPr>
    </w:p>
    <w:p w14:paraId="2EA8FCE8" w14:textId="77777777" w:rsidR="00C45AC4" w:rsidRPr="00F963C3" w:rsidRDefault="00C45AC4" w:rsidP="004F4D18">
      <w:pPr>
        <w:pStyle w:val="ListParagraph"/>
        <w:numPr>
          <w:ilvl w:val="0"/>
          <w:numId w:val="10"/>
        </w:numPr>
        <w:tabs>
          <w:tab w:val="clear" w:pos="426"/>
        </w:tabs>
        <w:spacing w:after="80" w:line="276" w:lineRule="auto"/>
        <w:contextualSpacing/>
        <w:rPr>
          <w:rFonts w:cstheme="minorHAnsi"/>
          <w:bCs/>
          <w:i/>
          <w:color w:val="auto"/>
        </w:rPr>
      </w:pPr>
      <w:r w:rsidRPr="00F963C3">
        <w:rPr>
          <w:rFonts w:cstheme="minorHAnsi"/>
          <w:bCs/>
          <w:i/>
          <w:color w:val="auto"/>
        </w:rPr>
        <w:t>“Interventions are quicker due to ASCO being able to pull together the relevant professionals to triangulate information and plan to safeguard those at risk and disrupt the perpetrators”.</w:t>
      </w:r>
    </w:p>
    <w:p w14:paraId="323134B7" w14:textId="77777777" w:rsidR="001E1CC8" w:rsidRPr="00F963C3" w:rsidRDefault="001E1CC8" w:rsidP="001E1CC8">
      <w:pPr>
        <w:pStyle w:val="ListParagraph"/>
        <w:numPr>
          <w:ilvl w:val="0"/>
          <w:numId w:val="0"/>
        </w:numPr>
        <w:ind w:left="426"/>
        <w:rPr>
          <w:rFonts w:cstheme="minorHAnsi"/>
          <w:bCs/>
          <w:i/>
          <w:color w:val="auto"/>
        </w:rPr>
      </w:pPr>
    </w:p>
    <w:p w14:paraId="3F211CEB" w14:textId="77777777" w:rsidR="006D1784" w:rsidRPr="00F963C3" w:rsidRDefault="006D1784" w:rsidP="004F4D18">
      <w:pPr>
        <w:pStyle w:val="ListParagraph"/>
        <w:numPr>
          <w:ilvl w:val="0"/>
          <w:numId w:val="10"/>
        </w:numPr>
        <w:tabs>
          <w:tab w:val="clear" w:pos="426"/>
        </w:tabs>
        <w:spacing w:after="80" w:line="276" w:lineRule="auto"/>
        <w:contextualSpacing/>
        <w:rPr>
          <w:rFonts w:cstheme="minorHAnsi"/>
          <w:bCs/>
          <w:i/>
          <w:color w:val="auto"/>
        </w:rPr>
      </w:pPr>
      <w:r w:rsidRPr="00F963C3">
        <w:rPr>
          <w:rFonts w:cstheme="minorHAnsi"/>
          <w:bCs/>
          <w:i/>
          <w:color w:val="auto"/>
        </w:rPr>
        <w:t>“The detailed risk assessments and pathways that have been developed help practitioners feel safe to share and use the agreed frameworks to support escalation of concerns”.</w:t>
      </w:r>
    </w:p>
    <w:p w14:paraId="47E50D86" w14:textId="77777777" w:rsidR="001E1CC8" w:rsidRPr="00F963C3" w:rsidRDefault="001E1CC8" w:rsidP="001E1CC8">
      <w:pPr>
        <w:pStyle w:val="ListParagraph"/>
        <w:numPr>
          <w:ilvl w:val="0"/>
          <w:numId w:val="0"/>
        </w:numPr>
        <w:ind w:left="426"/>
        <w:rPr>
          <w:rFonts w:cstheme="minorHAnsi"/>
          <w:bCs/>
          <w:i/>
          <w:color w:val="auto"/>
        </w:rPr>
      </w:pPr>
    </w:p>
    <w:p w14:paraId="58ADFC54" w14:textId="77777777" w:rsidR="00E03F68" w:rsidRPr="00F963C3" w:rsidRDefault="00E03F68" w:rsidP="004F4D18">
      <w:pPr>
        <w:pStyle w:val="ListParagraph"/>
        <w:numPr>
          <w:ilvl w:val="0"/>
          <w:numId w:val="10"/>
        </w:numPr>
        <w:tabs>
          <w:tab w:val="clear" w:pos="426"/>
        </w:tabs>
        <w:spacing w:after="80" w:line="276" w:lineRule="auto"/>
        <w:contextualSpacing/>
        <w:rPr>
          <w:rFonts w:cstheme="minorHAnsi"/>
          <w:bCs/>
          <w:i/>
          <w:color w:val="auto"/>
        </w:rPr>
      </w:pPr>
      <w:r w:rsidRPr="00F963C3">
        <w:rPr>
          <w:rFonts w:cstheme="minorHAnsi"/>
          <w:bCs/>
          <w:i/>
          <w:color w:val="auto"/>
        </w:rPr>
        <w:t>“The level of sharing between the partnership leads to a deeper understanding of concerns within Oxfordshire and nationally, enabling organisations to ensure they are playing an active role in raising awareness and tackling the issues within their own remits”.</w:t>
      </w:r>
    </w:p>
    <w:p w14:paraId="352ECC49" w14:textId="77777777" w:rsidR="008F091C" w:rsidRPr="00F963C3" w:rsidRDefault="008F091C" w:rsidP="008F091C">
      <w:pPr>
        <w:pStyle w:val="ListParagraph"/>
        <w:numPr>
          <w:ilvl w:val="0"/>
          <w:numId w:val="0"/>
        </w:numPr>
        <w:ind w:left="426"/>
        <w:rPr>
          <w:rFonts w:cstheme="minorHAnsi"/>
          <w:bCs/>
          <w:i/>
          <w:color w:val="auto"/>
        </w:rPr>
      </w:pPr>
    </w:p>
    <w:p w14:paraId="0C6EC159" w14:textId="77777777" w:rsidR="000039FA" w:rsidRPr="00F963C3" w:rsidRDefault="000039FA" w:rsidP="004F4D18">
      <w:pPr>
        <w:pStyle w:val="ListParagraph"/>
        <w:numPr>
          <w:ilvl w:val="0"/>
          <w:numId w:val="10"/>
        </w:numPr>
        <w:tabs>
          <w:tab w:val="clear" w:pos="426"/>
        </w:tabs>
        <w:spacing w:after="80" w:line="276" w:lineRule="auto"/>
        <w:contextualSpacing/>
        <w:rPr>
          <w:rFonts w:cstheme="minorHAnsi"/>
          <w:bCs/>
          <w:i/>
          <w:color w:val="auto"/>
        </w:rPr>
      </w:pPr>
      <w:r w:rsidRPr="00F963C3">
        <w:rPr>
          <w:rFonts w:cstheme="minorHAnsi"/>
          <w:bCs/>
          <w:i/>
          <w:color w:val="auto"/>
        </w:rPr>
        <w:t>“Oxfordshire is shown to be proactive and not just reactive in tackling modern slavery. Also evidences that collaboration and clear processes for communication between agencies and organisations is key”.</w:t>
      </w:r>
    </w:p>
    <w:p w14:paraId="1F8ADEA8" w14:textId="622DE1B3" w:rsidR="0014181A" w:rsidRDefault="0014181A" w:rsidP="00AC4125"/>
    <w:p w14:paraId="148960B7" w14:textId="77777777" w:rsidR="00E43575" w:rsidRDefault="00E43575" w:rsidP="004F4D18">
      <w:pPr>
        <w:numPr>
          <w:ilvl w:val="0"/>
          <w:numId w:val="6"/>
        </w:numPr>
      </w:pPr>
      <w:r w:rsidRPr="00030B6E">
        <w:t>Recognised nationally as good practice:</w:t>
      </w:r>
    </w:p>
    <w:p w14:paraId="045C9752" w14:textId="3DDF7B6B" w:rsidR="00450061" w:rsidRDefault="00450061" w:rsidP="004F4D18">
      <w:pPr>
        <w:pStyle w:val="ListParagraph"/>
        <w:numPr>
          <w:ilvl w:val="0"/>
          <w:numId w:val="11"/>
        </w:numPr>
        <w:spacing w:after="0"/>
        <w:jc w:val="both"/>
      </w:pPr>
      <w:r>
        <w:t xml:space="preserve">Involved in </w:t>
      </w:r>
      <w:r w:rsidRPr="00030B6E">
        <w:t>working with the Local Government Association on their new Modern Slavery Guidance. Elements of Oxfordshire’s Pathway and Guidance Document were used in the publication and</w:t>
      </w:r>
      <w:r>
        <w:t xml:space="preserve"> Oxford City acknowledged </w:t>
      </w:r>
      <w:r w:rsidRPr="00030B6E">
        <w:t>as a model</w:t>
      </w:r>
      <w:r>
        <w:t xml:space="preserve"> of good practice that is recommended. </w:t>
      </w:r>
    </w:p>
    <w:p w14:paraId="6DFF00FC" w14:textId="77777777" w:rsidR="008F091C" w:rsidRPr="00030B6E" w:rsidRDefault="008F091C" w:rsidP="008F091C">
      <w:pPr>
        <w:pStyle w:val="ListParagraph"/>
        <w:numPr>
          <w:ilvl w:val="0"/>
          <w:numId w:val="0"/>
        </w:numPr>
        <w:spacing w:after="0"/>
        <w:ind w:left="1080"/>
      </w:pPr>
    </w:p>
    <w:p w14:paraId="5697F5B0" w14:textId="77777777" w:rsidR="00CE4099" w:rsidRDefault="00CE4099" w:rsidP="004F4D18">
      <w:pPr>
        <w:numPr>
          <w:ilvl w:val="0"/>
          <w:numId w:val="11"/>
        </w:numPr>
        <w:spacing w:after="0"/>
        <w:jc w:val="both"/>
      </w:pPr>
      <w:r w:rsidRPr="00030B6E">
        <w:t xml:space="preserve">Invited to be the keynote speaker at a national webinar around </w:t>
      </w:r>
      <w:r>
        <w:t>our</w:t>
      </w:r>
      <w:r w:rsidRPr="00030B6E">
        <w:t xml:space="preserve"> work</w:t>
      </w:r>
      <w:r>
        <w:t xml:space="preserve"> and requests by other local authorities to meet to share our good process and good practice.</w:t>
      </w:r>
    </w:p>
    <w:p w14:paraId="0D021DDB" w14:textId="77777777" w:rsidR="008F091C" w:rsidRDefault="008F091C" w:rsidP="008F091C">
      <w:pPr>
        <w:pStyle w:val="ListParagraph"/>
        <w:numPr>
          <w:ilvl w:val="0"/>
          <w:numId w:val="0"/>
        </w:numPr>
        <w:ind w:left="426"/>
      </w:pPr>
    </w:p>
    <w:p w14:paraId="06B424C4" w14:textId="77777777" w:rsidR="00751BD6" w:rsidRDefault="00751BD6" w:rsidP="004F4D18">
      <w:pPr>
        <w:numPr>
          <w:ilvl w:val="0"/>
          <w:numId w:val="11"/>
        </w:numPr>
        <w:spacing w:after="0"/>
        <w:jc w:val="both"/>
      </w:pPr>
      <w:r>
        <w:t>Invited to other local authorities to talk about Oxfordshire’s processes.</w:t>
      </w:r>
    </w:p>
    <w:p w14:paraId="4C8A8E9F" w14:textId="1B47BFA7" w:rsidR="00AC4125" w:rsidRDefault="00AC4125" w:rsidP="00751BD6"/>
    <w:p w14:paraId="638E3B0A" w14:textId="77777777" w:rsidR="00982EF4" w:rsidRDefault="00982EF4" w:rsidP="004F4D18">
      <w:pPr>
        <w:numPr>
          <w:ilvl w:val="0"/>
          <w:numId w:val="6"/>
        </w:numPr>
        <w:jc w:val="both"/>
      </w:pPr>
      <w:r>
        <w:lastRenderedPageBreak/>
        <w:t>Sit</w:t>
      </w:r>
      <w:r w:rsidRPr="00030B6E">
        <w:t xml:space="preserve"> on the Local Government Association </w:t>
      </w:r>
      <w:r>
        <w:t xml:space="preserve">Task </w:t>
      </w:r>
      <w:r w:rsidRPr="00030B6E">
        <w:t>group</w:t>
      </w:r>
      <w:r>
        <w:t xml:space="preserve">, Home Office First Responder’s Forum, and the National Network Coordinators Forum. </w:t>
      </w:r>
    </w:p>
    <w:p w14:paraId="2ED228B0" w14:textId="1F85DE97" w:rsidR="00B66737" w:rsidRDefault="00B66737" w:rsidP="004F4D18">
      <w:pPr>
        <w:numPr>
          <w:ilvl w:val="0"/>
          <w:numId w:val="6"/>
        </w:numPr>
        <w:spacing w:after="0"/>
        <w:jc w:val="both"/>
      </w:pPr>
      <w:r>
        <w:t xml:space="preserve">Although we only deal with adults, we were instrumental in work with </w:t>
      </w:r>
      <w:r w:rsidR="00086049">
        <w:t xml:space="preserve">the </w:t>
      </w:r>
      <w:r>
        <w:t xml:space="preserve">Youth Justice and Exploitation Service in writing </w:t>
      </w:r>
      <w:r w:rsidR="00086049">
        <w:t xml:space="preserve">a </w:t>
      </w:r>
      <w:r>
        <w:t xml:space="preserve">bid for Oxfordshire to become a pilot site for Devolved NRM Decision Making for Children and </w:t>
      </w:r>
      <w:r w:rsidR="00DB0D4D">
        <w:t>the ASCO</w:t>
      </w:r>
      <w:r>
        <w:t xml:space="preserve"> also sit</w:t>
      </w:r>
      <w:r w:rsidR="00DB0D4D">
        <w:t>s</w:t>
      </w:r>
      <w:r>
        <w:t xml:space="preserve"> on this panel as a decision maker.</w:t>
      </w:r>
    </w:p>
    <w:p w14:paraId="6B91E4A9"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B91E4A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B91E4AA"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B91E4AB" w14:textId="21E74560" w:rsidR="00E87F7A" w:rsidRPr="001356F1" w:rsidRDefault="001D0A27" w:rsidP="00A46E98">
            <w:r>
              <w:t>Nicola Bell</w:t>
            </w:r>
          </w:p>
        </w:tc>
      </w:tr>
      <w:tr w:rsidR="00DF093E" w:rsidRPr="001356F1" w14:paraId="6B91E4AF"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B91E4AD"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6B91E4AE" w14:textId="6E85080E" w:rsidR="00E87F7A" w:rsidRPr="001356F1" w:rsidRDefault="001D0A27" w:rsidP="00A46E98">
            <w:r>
              <w:t>Anti-Slavery Coordinator Oxfordshire</w:t>
            </w:r>
          </w:p>
        </w:tc>
      </w:tr>
      <w:tr w:rsidR="00DF093E" w:rsidRPr="001356F1" w14:paraId="6B91E4B2" w14:textId="77777777" w:rsidTr="00A46E98">
        <w:trPr>
          <w:cantSplit/>
          <w:trHeight w:val="396"/>
        </w:trPr>
        <w:tc>
          <w:tcPr>
            <w:tcW w:w="3969" w:type="dxa"/>
            <w:tcBorders>
              <w:top w:val="nil"/>
              <w:left w:val="single" w:sz="8" w:space="0" w:color="000000"/>
              <w:bottom w:val="nil"/>
              <w:right w:val="nil"/>
            </w:tcBorders>
            <w:shd w:val="clear" w:color="auto" w:fill="auto"/>
          </w:tcPr>
          <w:p w14:paraId="6B91E4B0"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B91E4B1" w14:textId="665AB72D" w:rsidR="00E87F7A" w:rsidRPr="001356F1" w:rsidRDefault="009D5732" w:rsidP="00A46E98">
            <w:r>
              <w:t>Community Safety</w:t>
            </w:r>
          </w:p>
        </w:tc>
      </w:tr>
      <w:tr w:rsidR="00DF093E" w:rsidRPr="001356F1" w14:paraId="6B91E4B5" w14:textId="77777777" w:rsidTr="00A46E98">
        <w:trPr>
          <w:cantSplit/>
          <w:trHeight w:val="396"/>
        </w:trPr>
        <w:tc>
          <w:tcPr>
            <w:tcW w:w="3969" w:type="dxa"/>
            <w:tcBorders>
              <w:top w:val="nil"/>
              <w:left w:val="single" w:sz="8" w:space="0" w:color="000000"/>
              <w:bottom w:val="nil"/>
              <w:right w:val="nil"/>
            </w:tcBorders>
            <w:shd w:val="clear" w:color="auto" w:fill="auto"/>
          </w:tcPr>
          <w:p w14:paraId="6B91E4B3"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6B91E4B4" w14:textId="57367680" w:rsidR="00E87F7A" w:rsidRPr="001356F1" w:rsidRDefault="00E87F7A" w:rsidP="00A46E98">
            <w:r w:rsidRPr="001356F1">
              <w:t>01865</w:t>
            </w:r>
            <w:r w:rsidR="009D5732">
              <w:t xml:space="preserve"> 252406</w:t>
            </w:r>
            <w:r w:rsidRPr="001356F1">
              <w:t xml:space="preserve">  </w:t>
            </w:r>
          </w:p>
        </w:tc>
      </w:tr>
      <w:tr w:rsidR="005570B5" w:rsidRPr="001356F1" w14:paraId="6B91E4B8"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B91E4B6"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B91E4B7" w14:textId="2FC4EB4D" w:rsidR="00E87F7A" w:rsidRPr="001356F1" w:rsidRDefault="002D43E4" w:rsidP="00A46E98">
            <w:pPr>
              <w:rPr>
                <w:rStyle w:val="Hyperlink"/>
                <w:color w:val="000000"/>
              </w:rPr>
            </w:pPr>
            <w:hyperlink r:id="rId12" w:history="1">
              <w:r w:rsidR="009D5732" w:rsidRPr="0080370C">
                <w:rPr>
                  <w:rStyle w:val="Hyperlink"/>
                </w:rPr>
                <w:t>nbell@oxford.gov.uk</w:t>
              </w:r>
            </w:hyperlink>
            <w:r w:rsidR="009D5732">
              <w:rPr>
                <w:rStyle w:val="Hyperlink"/>
                <w:color w:val="000000"/>
              </w:rPr>
              <w:t xml:space="preserve"> </w:t>
            </w:r>
          </w:p>
        </w:tc>
      </w:tr>
    </w:tbl>
    <w:p w14:paraId="6B91E4B9"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6B91E4BB"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6B91E4BA"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6B91E4C8" w14:textId="77777777" w:rsidR="00CE4C87" w:rsidRDefault="00CE4C87" w:rsidP="0093067A"/>
    <w:p w14:paraId="6B91E4E6" w14:textId="77777777" w:rsidR="00821AAF" w:rsidRPr="009E51FC" w:rsidRDefault="00821AAF" w:rsidP="0093067A"/>
    <w:sectPr w:rsidR="00821AAF" w:rsidRPr="009E51FC" w:rsidSect="00B558E1">
      <w:footerReference w:type="even" r:id="rId13"/>
      <w:headerReference w:type="first" r:id="rId14"/>
      <w:footerReference w:type="first" r:id="rId15"/>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E4E9" w14:textId="77777777" w:rsidR="00FA026E" w:rsidRDefault="00FA026E" w:rsidP="004A6D2F">
      <w:r>
        <w:separator/>
      </w:r>
    </w:p>
  </w:endnote>
  <w:endnote w:type="continuationSeparator" w:id="0">
    <w:p w14:paraId="6B91E4EA" w14:textId="77777777"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4EB" w14:textId="77777777" w:rsidR="00364FAD" w:rsidRDefault="00364FAD" w:rsidP="004A6D2F">
    <w:pPr>
      <w:pStyle w:val="Footer"/>
    </w:pPr>
    <w:r>
      <w:t>Do not use a footer or page numbers.</w:t>
    </w:r>
  </w:p>
  <w:p w14:paraId="6B91E4EC" w14:textId="77777777" w:rsidR="00364FAD" w:rsidRDefault="00364FAD" w:rsidP="004A6D2F">
    <w:pPr>
      <w:pStyle w:val="Footer"/>
    </w:pPr>
  </w:p>
  <w:p w14:paraId="6B91E4ED"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4EF"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E4E7" w14:textId="77777777" w:rsidR="00FA026E" w:rsidRDefault="00FA026E" w:rsidP="004A6D2F">
      <w:r>
        <w:separator/>
      </w:r>
    </w:p>
  </w:footnote>
  <w:footnote w:type="continuationSeparator" w:id="0">
    <w:p w14:paraId="6B91E4E8" w14:textId="77777777" w:rsidR="00FA026E" w:rsidRDefault="00FA026E"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4EE" w14:textId="77777777" w:rsidR="00D5547E" w:rsidRDefault="00DD2FED" w:rsidP="00D5547E">
    <w:pPr>
      <w:pStyle w:val="Header"/>
      <w:jc w:val="right"/>
    </w:pPr>
    <w:r>
      <w:rPr>
        <w:noProof/>
      </w:rPr>
      <w:drawing>
        <wp:inline distT="0" distB="0" distL="0" distR="0" wp14:anchorId="6B91E4F0" wp14:editId="6B91E4F1">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E3544F"/>
    <w:multiLevelType w:val="hybridMultilevel"/>
    <w:tmpl w:val="CABE55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5748E4"/>
    <w:multiLevelType w:val="hybridMultilevel"/>
    <w:tmpl w:val="09F45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BC17537"/>
    <w:multiLevelType w:val="hybridMultilevel"/>
    <w:tmpl w:val="FEB04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2B172F0"/>
    <w:multiLevelType w:val="hybridMultilevel"/>
    <w:tmpl w:val="3F7E5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1D6E0B"/>
    <w:multiLevelType w:val="hybridMultilevel"/>
    <w:tmpl w:val="FBD475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3D928BF"/>
    <w:multiLevelType w:val="hybridMultilevel"/>
    <w:tmpl w:val="E990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8365C6"/>
    <w:multiLevelType w:val="multilevel"/>
    <w:tmpl w:val="E67CE66C"/>
    <w:numStyleLink w:val="StyleNumberedLeft0cmHanging075cm"/>
  </w:abstractNum>
  <w:num w:numId="1" w16cid:durableId="94518875">
    <w:abstractNumId w:val="0"/>
  </w:num>
  <w:num w:numId="2" w16cid:durableId="1790784815">
    <w:abstractNumId w:val="10"/>
  </w:num>
  <w:num w:numId="3" w16cid:durableId="70392121">
    <w:abstractNumId w:val="2"/>
  </w:num>
  <w:num w:numId="4" w16cid:durableId="664627299">
    <w:abstractNumId w:val="1"/>
  </w:num>
  <w:num w:numId="5" w16cid:durableId="1519999134">
    <w:abstractNumId w:val="7"/>
  </w:num>
  <w:num w:numId="6" w16cid:durableId="1833830459">
    <w:abstractNumId w:val="3"/>
  </w:num>
  <w:num w:numId="7" w16cid:durableId="2054382484">
    <w:abstractNumId w:val="6"/>
  </w:num>
  <w:num w:numId="8" w16cid:durableId="894005396">
    <w:abstractNumId w:val="4"/>
  </w:num>
  <w:num w:numId="9" w16cid:durableId="1590001581">
    <w:abstractNumId w:val="9"/>
  </w:num>
  <w:num w:numId="10" w16cid:durableId="1457989202">
    <w:abstractNumId w:val="5"/>
  </w:num>
  <w:num w:numId="11" w16cid:durableId="149995439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292"/>
    <w:rsid w:val="000016B4"/>
    <w:rsid w:val="000039FA"/>
    <w:rsid w:val="000117D4"/>
    <w:rsid w:val="00020605"/>
    <w:rsid w:val="00021B39"/>
    <w:rsid w:val="00025DF8"/>
    <w:rsid w:val="00045F8B"/>
    <w:rsid w:val="00046D2B"/>
    <w:rsid w:val="00054E61"/>
    <w:rsid w:val="00056263"/>
    <w:rsid w:val="00064D8A"/>
    <w:rsid w:val="00064F82"/>
    <w:rsid w:val="00066510"/>
    <w:rsid w:val="0007266F"/>
    <w:rsid w:val="00077523"/>
    <w:rsid w:val="000836C2"/>
    <w:rsid w:val="00086049"/>
    <w:rsid w:val="000B7254"/>
    <w:rsid w:val="000C089F"/>
    <w:rsid w:val="000C3928"/>
    <w:rsid w:val="000C5E8E"/>
    <w:rsid w:val="000F4751"/>
    <w:rsid w:val="0010524C"/>
    <w:rsid w:val="00111FB1"/>
    <w:rsid w:val="00113418"/>
    <w:rsid w:val="001356F1"/>
    <w:rsid w:val="00136994"/>
    <w:rsid w:val="0014128E"/>
    <w:rsid w:val="0014181A"/>
    <w:rsid w:val="00151888"/>
    <w:rsid w:val="00170A2D"/>
    <w:rsid w:val="001726D8"/>
    <w:rsid w:val="001808BC"/>
    <w:rsid w:val="00182B81"/>
    <w:rsid w:val="0018619D"/>
    <w:rsid w:val="00191639"/>
    <w:rsid w:val="001A011E"/>
    <w:rsid w:val="001A066A"/>
    <w:rsid w:val="001A13E6"/>
    <w:rsid w:val="001A5731"/>
    <w:rsid w:val="001B42C3"/>
    <w:rsid w:val="001C5D5E"/>
    <w:rsid w:val="001D0A27"/>
    <w:rsid w:val="001D678D"/>
    <w:rsid w:val="001E03F8"/>
    <w:rsid w:val="001E1CC8"/>
    <w:rsid w:val="001E3376"/>
    <w:rsid w:val="00204002"/>
    <w:rsid w:val="002069B3"/>
    <w:rsid w:val="00207D9E"/>
    <w:rsid w:val="0021144D"/>
    <w:rsid w:val="0022008B"/>
    <w:rsid w:val="0022164C"/>
    <w:rsid w:val="002329CF"/>
    <w:rsid w:val="00232F5B"/>
    <w:rsid w:val="00247C29"/>
    <w:rsid w:val="00260467"/>
    <w:rsid w:val="00263EA3"/>
    <w:rsid w:val="00266EB5"/>
    <w:rsid w:val="00284F85"/>
    <w:rsid w:val="00290915"/>
    <w:rsid w:val="002A22E2"/>
    <w:rsid w:val="002C64F7"/>
    <w:rsid w:val="002D077F"/>
    <w:rsid w:val="002D43E4"/>
    <w:rsid w:val="002D5E00"/>
    <w:rsid w:val="002F41F2"/>
    <w:rsid w:val="00301BF3"/>
    <w:rsid w:val="00301FD5"/>
    <w:rsid w:val="0030208D"/>
    <w:rsid w:val="00302600"/>
    <w:rsid w:val="00311C2F"/>
    <w:rsid w:val="00323418"/>
    <w:rsid w:val="003234B8"/>
    <w:rsid w:val="003357BF"/>
    <w:rsid w:val="00355BB8"/>
    <w:rsid w:val="00364FAD"/>
    <w:rsid w:val="0036569B"/>
    <w:rsid w:val="0036738F"/>
    <w:rsid w:val="0036759C"/>
    <w:rsid w:val="00367AE5"/>
    <w:rsid w:val="00367D71"/>
    <w:rsid w:val="0038150A"/>
    <w:rsid w:val="003A4DF2"/>
    <w:rsid w:val="003B6E75"/>
    <w:rsid w:val="003D0379"/>
    <w:rsid w:val="003D2574"/>
    <w:rsid w:val="003D4C59"/>
    <w:rsid w:val="003E567D"/>
    <w:rsid w:val="003F1AF5"/>
    <w:rsid w:val="003F4267"/>
    <w:rsid w:val="00404032"/>
    <w:rsid w:val="0040736F"/>
    <w:rsid w:val="00412C1F"/>
    <w:rsid w:val="00413662"/>
    <w:rsid w:val="00421CB2"/>
    <w:rsid w:val="004268B9"/>
    <w:rsid w:val="00433B96"/>
    <w:rsid w:val="004440F1"/>
    <w:rsid w:val="004456DD"/>
    <w:rsid w:val="00446CDF"/>
    <w:rsid w:val="00450061"/>
    <w:rsid w:val="004521B7"/>
    <w:rsid w:val="00462AB5"/>
    <w:rsid w:val="00465EAF"/>
    <w:rsid w:val="004738C5"/>
    <w:rsid w:val="00491046"/>
    <w:rsid w:val="00496FAD"/>
    <w:rsid w:val="004A2AC7"/>
    <w:rsid w:val="004A5337"/>
    <w:rsid w:val="004A67C0"/>
    <w:rsid w:val="004A6D2F"/>
    <w:rsid w:val="004B1521"/>
    <w:rsid w:val="004B348B"/>
    <w:rsid w:val="004C2887"/>
    <w:rsid w:val="004C3B5A"/>
    <w:rsid w:val="004D2626"/>
    <w:rsid w:val="004D6E26"/>
    <w:rsid w:val="004D77D3"/>
    <w:rsid w:val="004E2959"/>
    <w:rsid w:val="004F20EF"/>
    <w:rsid w:val="004F4D18"/>
    <w:rsid w:val="0050321C"/>
    <w:rsid w:val="0050790A"/>
    <w:rsid w:val="005140C0"/>
    <w:rsid w:val="00533159"/>
    <w:rsid w:val="005446D6"/>
    <w:rsid w:val="0054712D"/>
    <w:rsid w:val="00547EF6"/>
    <w:rsid w:val="005570B5"/>
    <w:rsid w:val="00563DB0"/>
    <w:rsid w:val="00565956"/>
    <w:rsid w:val="00567E18"/>
    <w:rsid w:val="005717AB"/>
    <w:rsid w:val="00575F5F"/>
    <w:rsid w:val="00580223"/>
    <w:rsid w:val="00581805"/>
    <w:rsid w:val="00585F76"/>
    <w:rsid w:val="005A2220"/>
    <w:rsid w:val="005A34E4"/>
    <w:rsid w:val="005B17F2"/>
    <w:rsid w:val="005B79FD"/>
    <w:rsid w:val="005B7FB0"/>
    <w:rsid w:val="005C35A5"/>
    <w:rsid w:val="005C577C"/>
    <w:rsid w:val="005D0621"/>
    <w:rsid w:val="005D1E27"/>
    <w:rsid w:val="005E022E"/>
    <w:rsid w:val="005E3A1B"/>
    <w:rsid w:val="005E5215"/>
    <w:rsid w:val="005E53B1"/>
    <w:rsid w:val="005E6372"/>
    <w:rsid w:val="005F7F7E"/>
    <w:rsid w:val="00614693"/>
    <w:rsid w:val="00623C2F"/>
    <w:rsid w:val="00632A88"/>
    <w:rsid w:val="00633578"/>
    <w:rsid w:val="00637068"/>
    <w:rsid w:val="00650811"/>
    <w:rsid w:val="00650E5E"/>
    <w:rsid w:val="00653624"/>
    <w:rsid w:val="00661D3E"/>
    <w:rsid w:val="00690F93"/>
    <w:rsid w:val="00692627"/>
    <w:rsid w:val="006969E7"/>
    <w:rsid w:val="00697CFD"/>
    <w:rsid w:val="006A3643"/>
    <w:rsid w:val="006A598E"/>
    <w:rsid w:val="006C2A29"/>
    <w:rsid w:val="006C64CF"/>
    <w:rsid w:val="006D1784"/>
    <w:rsid w:val="006D17B1"/>
    <w:rsid w:val="006D708A"/>
    <w:rsid w:val="006E14C1"/>
    <w:rsid w:val="006F0292"/>
    <w:rsid w:val="006F416B"/>
    <w:rsid w:val="006F519B"/>
    <w:rsid w:val="00713675"/>
    <w:rsid w:val="00715823"/>
    <w:rsid w:val="00732E3D"/>
    <w:rsid w:val="00737B93"/>
    <w:rsid w:val="00742E29"/>
    <w:rsid w:val="00745BF0"/>
    <w:rsid w:val="00746AF1"/>
    <w:rsid w:val="00751BD6"/>
    <w:rsid w:val="007615FE"/>
    <w:rsid w:val="0076655C"/>
    <w:rsid w:val="00772D85"/>
    <w:rsid w:val="007742DC"/>
    <w:rsid w:val="00791437"/>
    <w:rsid w:val="007B0C2C"/>
    <w:rsid w:val="007B278E"/>
    <w:rsid w:val="007C1201"/>
    <w:rsid w:val="007C48A5"/>
    <w:rsid w:val="007C5C23"/>
    <w:rsid w:val="007D2865"/>
    <w:rsid w:val="007D572E"/>
    <w:rsid w:val="007E2A26"/>
    <w:rsid w:val="007F2348"/>
    <w:rsid w:val="007F2CF5"/>
    <w:rsid w:val="00803F07"/>
    <w:rsid w:val="0080749A"/>
    <w:rsid w:val="00821AAF"/>
    <w:rsid w:val="00821FB8"/>
    <w:rsid w:val="00822ACD"/>
    <w:rsid w:val="00823BBF"/>
    <w:rsid w:val="00855C66"/>
    <w:rsid w:val="00871EE4"/>
    <w:rsid w:val="008811DC"/>
    <w:rsid w:val="008919CF"/>
    <w:rsid w:val="008B293F"/>
    <w:rsid w:val="008B7371"/>
    <w:rsid w:val="008D3DDB"/>
    <w:rsid w:val="008F091C"/>
    <w:rsid w:val="008F573F"/>
    <w:rsid w:val="009034EC"/>
    <w:rsid w:val="0092686F"/>
    <w:rsid w:val="0093067A"/>
    <w:rsid w:val="00941C60"/>
    <w:rsid w:val="00966D42"/>
    <w:rsid w:val="00971689"/>
    <w:rsid w:val="00973AA5"/>
    <w:rsid w:val="00973D2F"/>
    <w:rsid w:val="00973E90"/>
    <w:rsid w:val="00975B07"/>
    <w:rsid w:val="00980B4A"/>
    <w:rsid w:val="00982EF4"/>
    <w:rsid w:val="00984233"/>
    <w:rsid w:val="009A6A2A"/>
    <w:rsid w:val="009B0CF0"/>
    <w:rsid w:val="009D5732"/>
    <w:rsid w:val="009E3D0A"/>
    <w:rsid w:val="009E51FC"/>
    <w:rsid w:val="009F1D28"/>
    <w:rsid w:val="009F3364"/>
    <w:rsid w:val="009F7618"/>
    <w:rsid w:val="00A04D23"/>
    <w:rsid w:val="00A06766"/>
    <w:rsid w:val="00A13765"/>
    <w:rsid w:val="00A21B12"/>
    <w:rsid w:val="00A23F80"/>
    <w:rsid w:val="00A3729C"/>
    <w:rsid w:val="00A44635"/>
    <w:rsid w:val="00A46E98"/>
    <w:rsid w:val="00A6352B"/>
    <w:rsid w:val="00A67B4C"/>
    <w:rsid w:val="00A701B5"/>
    <w:rsid w:val="00A714BB"/>
    <w:rsid w:val="00A92D8F"/>
    <w:rsid w:val="00A96C0A"/>
    <w:rsid w:val="00AA0D0C"/>
    <w:rsid w:val="00AA16BD"/>
    <w:rsid w:val="00AB2988"/>
    <w:rsid w:val="00AB7999"/>
    <w:rsid w:val="00AC4125"/>
    <w:rsid w:val="00AD3292"/>
    <w:rsid w:val="00AD6597"/>
    <w:rsid w:val="00AE7AF0"/>
    <w:rsid w:val="00AF36C4"/>
    <w:rsid w:val="00B03B62"/>
    <w:rsid w:val="00B500CA"/>
    <w:rsid w:val="00B558E1"/>
    <w:rsid w:val="00B66737"/>
    <w:rsid w:val="00B7799F"/>
    <w:rsid w:val="00B86314"/>
    <w:rsid w:val="00BA1C2E"/>
    <w:rsid w:val="00BB6DA1"/>
    <w:rsid w:val="00BC200B"/>
    <w:rsid w:val="00BC4756"/>
    <w:rsid w:val="00BC69A4"/>
    <w:rsid w:val="00BE0680"/>
    <w:rsid w:val="00BE305F"/>
    <w:rsid w:val="00BE7BA3"/>
    <w:rsid w:val="00BF5682"/>
    <w:rsid w:val="00BF7655"/>
    <w:rsid w:val="00BF7B09"/>
    <w:rsid w:val="00C20A95"/>
    <w:rsid w:val="00C2692F"/>
    <w:rsid w:val="00C306C3"/>
    <w:rsid w:val="00C3207C"/>
    <w:rsid w:val="00C32089"/>
    <w:rsid w:val="00C3739B"/>
    <w:rsid w:val="00C37666"/>
    <w:rsid w:val="00C400E1"/>
    <w:rsid w:val="00C41187"/>
    <w:rsid w:val="00C442A9"/>
    <w:rsid w:val="00C45AC4"/>
    <w:rsid w:val="00C63C31"/>
    <w:rsid w:val="00C70328"/>
    <w:rsid w:val="00C757A0"/>
    <w:rsid w:val="00C760DE"/>
    <w:rsid w:val="00C77FD6"/>
    <w:rsid w:val="00C82630"/>
    <w:rsid w:val="00C85B4E"/>
    <w:rsid w:val="00C907F7"/>
    <w:rsid w:val="00C97B7E"/>
    <w:rsid w:val="00CA2103"/>
    <w:rsid w:val="00CB31E1"/>
    <w:rsid w:val="00CB6B99"/>
    <w:rsid w:val="00CC00BB"/>
    <w:rsid w:val="00CC4839"/>
    <w:rsid w:val="00CE4099"/>
    <w:rsid w:val="00CE4C87"/>
    <w:rsid w:val="00CE544A"/>
    <w:rsid w:val="00CE7F2B"/>
    <w:rsid w:val="00D03DD2"/>
    <w:rsid w:val="00D11E1C"/>
    <w:rsid w:val="00D160B0"/>
    <w:rsid w:val="00D17F94"/>
    <w:rsid w:val="00D223FC"/>
    <w:rsid w:val="00D26D1E"/>
    <w:rsid w:val="00D474CF"/>
    <w:rsid w:val="00D5547E"/>
    <w:rsid w:val="00D6683E"/>
    <w:rsid w:val="00D90A28"/>
    <w:rsid w:val="00D971C0"/>
    <w:rsid w:val="00DA413F"/>
    <w:rsid w:val="00DA4584"/>
    <w:rsid w:val="00DA614B"/>
    <w:rsid w:val="00DB0D4D"/>
    <w:rsid w:val="00DC3060"/>
    <w:rsid w:val="00DD1D7A"/>
    <w:rsid w:val="00DD2FED"/>
    <w:rsid w:val="00DE0FB2"/>
    <w:rsid w:val="00DF093E"/>
    <w:rsid w:val="00E01F42"/>
    <w:rsid w:val="00E03F68"/>
    <w:rsid w:val="00E06D54"/>
    <w:rsid w:val="00E14DD8"/>
    <w:rsid w:val="00E206D6"/>
    <w:rsid w:val="00E3366E"/>
    <w:rsid w:val="00E33E1D"/>
    <w:rsid w:val="00E43575"/>
    <w:rsid w:val="00E52086"/>
    <w:rsid w:val="00E543A6"/>
    <w:rsid w:val="00E60479"/>
    <w:rsid w:val="00E61D73"/>
    <w:rsid w:val="00E73684"/>
    <w:rsid w:val="00E818D6"/>
    <w:rsid w:val="00E87F7A"/>
    <w:rsid w:val="00E96BD7"/>
    <w:rsid w:val="00EA0DB1"/>
    <w:rsid w:val="00EA0EE9"/>
    <w:rsid w:val="00ED45ED"/>
    <w:rsid w:val="00ED52CA"/>
    <w:rsid w:val="00ED5407"/>
    <w:rsid w:val="00ED5860"/>
    <w:rsid w:val="00EE2AD4"/>
    <w:rsid w:val="00EE35C9"/>
    <w:rsid w:val="00EF0A8D"/>
    <w:rsid w:val="00EF4AF2"/>
    <w:rsid w:val="00F01235"/>
    <w:rsid w:val="00F05A13"/>
    <w:rsid w:val="00F05ECA"/>
    <w:rsid w:val="00F14436"/>
    <w:rsid w:val="00F3566E"/>
    <w:rsid w:val="00F375FB"/>
    <w:rsid w:val="00F41AC1"/>
    <w:rsid w:val="00F4367A"/>
    <w:rsid w:val="00F445B1"/>
    <w:rsid w:val="00F4490B"/>
    <w:rsid w:val="00F45CD4"/>
    <w:rsid w:val="00F567E0"/>
    <w:rsid w:val="00F66DCA"/>
    <w:rsid w:val="00F74F53"/>
    <w:rsid w:val="00F7606D"/>
    <w:rsid w:val="00F81670"/>
    <w:rsid w:val="00F82024"/>
    <w:rsid w:val="00F8270E"/>
    <w:rsid w:val="00F913EC"/>
    <w:rsid w:val="00F95BC9"/>
    <w:rsid w:val="00F963C3"/>
    <w:rsid w:val="00FA026E"/>
    <w:rsid w:val="00FA08BB"/>
    <w:rsid w:val="00FA624C"/>
    <w:rsid w:val="00FC0243"/>
    <w:rsid w:val="00FD0FAC"/>
    <w:rsid w:val="00FD1DFA"/>
    <w:rsid w:val="00FD4966"/>
    <w:rsid w:val="00FE57DC"/>
    <w:rsid w:val="00FF0DD3"/>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91E44E"/>
  <w15:docId w15:val="{1D8CFFF3-AD90-48D0-B63C-19B4C65E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UnresolvedMention">
    <w:name w:val="Unresolved Mention"/>
    <w:basedOn w:val="DefaultParagraphFont"/>
    <w:uiPriority w:val="99"/>
    <w:semiHidden/>
    <w:unhideWhenUsed/>
    <w:rsid w:val="009D5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bell@oxfor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guardian.com/world/2023/nov/28/tantric-yoga-guru-gregorian-bivolaru-charged-with-human-traffick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2.xml><?xml version="1.0" encoding="utf-8"?>
<ds:datastoreItem xmlns:ds="http://schemas.openxmlformats.org/officeDocument/2006/customXml" ds:itemID="{C41ED3A9-6BDF-4C87-8DB3-375CA62C843E}">
  <ds:schemaRefs>
    <ds:schemaRef ds:uri="http://schemas.openxmlformats.org/officeDocument/2006/bibliography"/>
  </ds:schemaRefs>
</ds:datastoreItem>
</file>

<file path=customXml/itemProps3.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9A6B5D-C5FD-4658-A568-2D840A428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COURTNEY Alice</cp:lastModifiedBy>
  <cp:revision>131</cp:revision>
  <cp:lastPrinted>2015-07-03T12:50:00Z</cp:lastPrinted>
  <dcterms:created xsi:type="dcterms:W3CDTF">2019-10-22T08:34:00Z</dcterms:created>
  <dcterms:modified xsi:type="dcterms:W3CDTF">2024-01-29T11:13:00Z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